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CF" w:rsidRPr="00DE43CF" w:rsidRDefault="00DE43CF" w:rsidP="00DE43CF">
      <w:pPr>
        <w:pStyle w:val="Default"/>
        <w:spacing w:line="360" w:lineRule="auto"/>
        <w:rPr>
          <w:b/>
          <w:color w:val="auto"/>
        </w:rPr>
      </w:pPr>
      <w:r w:rsidRPr="008D22FF">
        <w:rPr>
          <w:b/>
          <w:color w:val="auto"/>
        </w:rPr>
        <w:t>Remessas</w:t>
      </w:r>
      <w:r>
        <w:rPr>
          <w:b/>
          <w:color w:val="auto"/>
        </w:rPr>
        <w:t xml:space="preserve"> de emigrantes</w:t>
      </w:r>
      <w:r w:rsidRPr="008D22FF">
        <w:rPr>
          <w:b/>
          <w:color w:val="auto"/>
        </w:rPr>
        <w:t>: os casos de Cabo Verde e S. Tomé e Príncipe</w:t>
      </w:r>
    </w:p>
    <w:p w:rsid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artigo não estuda o impacto dos fluxos de desenvolvimento (remessas de emigrantes, IDE e transferências oficiais) no produto interno bruto de Cabo Verde e de S. Tomé e Príncipe porque os dados observados apresentam flutuações muito acentuadas e distorceriam o significado econométrico da análise, e também, por não ser este o objetivo do presente artigo.  </w:t>
      </w:r>
    </w:p>
    <w:p w:rsid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o que aqui vou procurar fazer é uma análise comparada do comportamento dos fluxos de desenvolvimento entre Cabo Verde e S. Tomé e Príncipe, t</w:t>
      </w:r>
      <w:r w:rsidRPr="008B5FCE">
        <w:rPr>
          <w:rFonts w:ascii="Times New Roman" w:hAnsi="Times New Roman" w:cs="Times New Roman"/>
          <w:sz w:val="24"/>
          <w:szCs w:val="24"/>
        </w:rPr>
        <w:t>omando</w:t>
      </w:r>
      <w:r>
        <w:rPr>
          <w:rFonts w:ascii="Times New Roman" w:hAnsi="Times New Roman" w:cs="Times New Roman"/>
          <w:sz w:val="24"/>
          <w:szCs w:val="24"/>
        </w:rPr>
        <w:t xml:space="preserve"> para o efeito, </w:t>
      </w:r>
      <w:r w:rsidRPr="008B5FCE">
        <w:rPr>
          <w:rFonts w:ascii="Times New Roman" w:hAnsi="Times New Roman" w:cs="Times New Roman"/>
          <w:sz w:val="24"/>
          <w:szCs w:val="24"/>
        </w:rPr>
        <w:t xml:space="preserve">o período temporal </w:t>
      </w:r>
      <w:r>
        <w:rPr>
          <w:rFonts w:ascii="Times New Roman" w:hAnsi="Times New Roman" w:cs="Times New Roman"/>
          <w:sz w:val="24"/>
          <w:szCs w:val="24"/>
        </w:rPr>
        <w:t xml:space="preserve">de 1991 a 2013. </w:t>
      </w:r>
    </w:p>
    <w:p w:rsid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período considerado, as remessas foram muito significativas tanto em termos absolutos como relativos em Cabo Verde e marginal em S. Tomé e Príncipe (cf. gráficos 1, 2, 6, 7 e 11 em anexo). Foram também mais importantes do que o IDE e as transferências oficiais, não somente em relação aos montantes assumidos mas sobretudo por serem mais previsíveis e mais estáveis. Elas tiveram uma evolução tendencialmente crescente entre 1991 e 2013 com máximos e mínimos menos pronunciados do que os outros fluxos de desenvolvimento, sendo o IDE o mais instável tanto em Cabo Verde como em S. Tomé e Príncipe.  </w:t>
      </w:r>
    </w:p>
    <w:p w:rsidR="00DE43CF" w:rsidRPr="008B5FCE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Cabo Verde, as remessas atingiram 48,9 milhões de dólares em 1991, as transferências oficiais 35,3 milhões e IDE somente 1,7 milhões. Apenas entre 2006 e 2008, excluindo o ano de 1992, o IDE superou as remessas de emigrantes para Cabo Verde, um período em que a crise económica nos países de acolhimento dos emigrantes cabo-verdianos (Europa e EUA) atingia o ponto mais crítico.  </w:t>
      </w:r>
    </w:p>
    <w:p w:rsid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2013, as remessas chegaram a 165,7 milhões de dólares, as transferências oficiais 57,7 milhões e o IDE somente 36,3 milhões, o que mostra bem a grande importância das remessas para Cabo Verde.</w:t>
      </w:r>
    </w:p>
    <w:p w:rsid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contrário de Cabo Verde, são as transferências oficiais e o IDE que, em momentos diferentes, tiveram um papel decisivo em S. Tomé e Príncipe (cf. os gráficos 6, 7, 8 e 9). As transferências oficiais foram vitais entre 1991 e 2005, quando o IDE e as remessas eram residuais. Elas evoluíram entre 11,6 milhões de dólares em 1991 para 33,5 milhões em 2005, tornando-se insignificante a partir de 2006, ano a partir do qual o IDE passou a ser vital até 2013, em que atingiu 29,5 milhões de dólares. Somente a partir de 2010 as remessas deram sinal de algum crescimento tendo passado de 6,4 milhões de dólares para 23,1 milhões em 2013, quase o dobro das transferências oficiais, mas aquém do IDE (cf. o gráfico 6). </w:t>
      </w:r>
    </w:p>
    <w:p w:rsid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Apesar da sua importância na economia de S. Tomé e Príncipe, as transferências oficiais e o IDE são muito instáveis e imprevisíveis, com flutuações bastante abruptas, o que contribui para que este país viva situações de «pânico» financeiro</w:t>
      </w:r>
      <w:r w:rsidRPr="0039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de incertezas permanentes.    </w:t>
      </w:r>
    </w:p>
    <w:p w:rsid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termos relativos, as remessas em 1991 representaram 15,2% do PIB em Cabo Verde e apenas 1,1% em S. Tomé e Príncipe (cf. os gráficos 2 e 7). Flutuaram em torno de 15% até 1995 mas começaram a manifestar sinais de desaceleração a partir do ano seguinte até atingir o nível mais baixo de sempre em 2010 (7,5%). Somente em 2013 as remessas chegaram a 7,5% do PIB em S. Tomé e Príncipe, influenciado por um valor anormal observado nesse ano, e 8,9% em Cabo Verde (cf. os gráficos 2 e 7). </w:t>
      </w: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leitura conjunta dos gráficos 2, 3 e 4 permite concluir pela grande importância e relativa estabilidade das remessas em percentagem do PIB em Cabo Verde face a uma forte instabilidade do IDE e uma tendência sempre decrescente das transferências oficiais. </w:t>
      </w:r>
    </w:p>
    <w:p w:rsid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S. Tomé e Príncipe, as remessas representaram sempre uma percentagem reduzida do PIB mas com uma ligeira tendência a aumentar a partir de 2010 (cf. o gráfico 7). São as transferências oficiais e o IDE que, apesar da sua enorme instabilidade, tiveram uma participação importante no produto interno bruto (cf. os gráficos 8 e 9) tendo cada um dos fluxos atingido a percentagem mais elevada do PIB, respetivamente, em 1997 (71,3%) e em 2008 (31,2%).      </w:t>
      </w:r>
    </w:p>
    <w:p w:rsid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gráficos 5 e 10 representam uma relação entre o PIB e as remessas de emigrantes em Cabo Verde e em S. Tomé e Príncipe entre 1991 e 2013 e mostram que elas parecem influenciar de forma significativa e positiva o crescimento do PIB em Cabo Verde enquanto em S. Tomé e Príncipe a sua influência é praticamente nula ou residual. </w:t>
      </w:r>
    </w:p>
    <w:p w:rsid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gráfico 11 compara a tendência das remessas em percentagem do PIB entre Cabo Verde e S. Tomé e Príncipe e mostra que elas foram muito importantes no primeiro e irrisórias no segundo. Esta relação tornou-se visivelmente decrescente em Cabo Verde entre 2002 (13,6%) e 2009 (7,5%) e fixou-se em 8,9% do PIB em 2013. Esta desaceleração coincide com uma significativa diminuição das remessas provenientes dos EUA que representam 60% dos emigrantes cabo-verdianos. Aquela tendência manteve-se estacionária e residual em S. Tomé e Príncipe entre 1995 (1,3%) e 2009 (1%) mas subiu exponencialmente em 2013 (7,5%), com tendência a aproximar-se do valor relativo de Cabo Verde. Apesar deste aumento repentino em 2013, que suscita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reservas quanto à qualidade da informação estatística, as remessas dos migrantes são-tomenses diferem das dos cabo-verdianos na medida em que tendem a beneficiar os próprios e não tanto as famílias no país de origem. </w:t>
      </w:r>
    </w:p>
    <w:p w:rsid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análise permite-nos concluir o seguinte: </w:t>
      </w: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As remessas são vitais para Cabo Verde e insignificantes em S. Tomé e Príncipe;</w:t>
      </w: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As transferências oficiais e o IDE são importantes para S. Tomé e Príncipe;</w:t>
      </w: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As constantes flutuações muito pronunciadas das transferências oficiais e do IDE para S. Tomé e Príncipe pode significar uma grande incapacidade das autoridades são-tomenses em convencer os doadores internacionais ou investidores estrangeiros a afetar mais recursos financeiros, com regularidade, em S. Tomé e Príncipe. Esta incapacidade pode estar relacionada com a instabilidade política permanente entre 1991 e 2014, associada a uma prática generalizada de corrupção.  </w:t>
      </w:r>
    </w:p>
    <w:p w:rsidR="00DE43CF" w:rsidRPr="00DE43CF" w:rsidRDefault="00DE43CF" w:rsidP="00DE43C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respeita ao IDE, a prática de corrupção institucionalizada tende a desencorajar investidores estrangeiros privados quando afeta os seus negócios. </w:t>
      </w:r>
      <w:r w:rsidRPr="00F52C3E">
        <w:rPr>
          <w:rFonts w:ascii="Times New Roman" w:hAnsi="Times New Roman" w:cs="Times New Roman"/>
          <w:sz w:val="24"/>
          <w:szCs w:val="24"/>
        </w:rPr>
        <w:t xml:space="preserve">Por outro lado, os sucessivos adiamentos na passagem à fase de exploração económica da atividade petrolífera, anunciada há mais de uma década, geram incertezas nos investidores estrangeiros e explicam em boa medida as flutuações, uma vez que uma parte significativa do IDE está relacionada com atividades da Zona de Exploração Conjunta com a Nigéria e da Zona Económica Exclusiva, pelas quais S. Tomé e Príncipe tem recebido bónus pela concessão da exploração. </w:t>
      </w:r>
    </w:p>
    <w:p w:rsidR="00DE43CF" w:rsidRDefault="00DE43CF" w:rsidP="00DE43CF">
      <w:pPr>
        <w:rPr>
          <w:rFonts w:ascii="Times New Roman" w:hAnsi="Times New Roman" w:cs="Times New Roman"/>
          <w:sz w:val="24"/>
          <w:szCs w:val="24"/>
        </w:rPr>
      </w:pPr>
    </w:p>
    <w:p w:rsidR="00DE43CF" w:rsidRPr="00885500" w:rsidRDefault="00DE43CF" w:rsidP="00DE43CF">
      <w:pPr>
        <w:rPr>
          <w:rFonts w:ascii="Times New Roman" w:hAnsi="Times New Roman" w:cs="Times New Roman"/>
          <w:sz w:val="24"/>
          <w:szCs w:val="24"/>
        </w:rPr>
      </w:pPr>
      <w:r w:rsidRPr="00885500">
        <w:rPr>
          <w:rFonts w:ascii="Times New Roman" w:hAnsi="Times New Roman" w:cs="Times New Roman"/>
          <w:sz w:val="24"/>
          <w:szCs w:val="24"/>
        </w:rPr>
        <w:t xml:space="preserve">Gráfico 1 </w:t>
      </w:r>
    </w:p>
    <w:p w:rsidR="00DE43CF" w:rsidRDefault="00DE43CF" w:rsidP="00DE43CF">
      <w:r w:rsidRPr="00CB7BC3">
        <w:rPr>
          <w:noProof/>
          <w:lang w:eastAsia="pt-PT"/>
        </w:rPr>
        <w:drawing>
          <wp:inline distT="0" distB="0" distL="0" distR="0">
            <wp:extent cx="4809192" cy="2201034"/>
            <wp:effectExtent l="19050" t="0" r="10458" b="8766"/>
            <wp:docPr id="9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E43CF" w:rsidRDefault="00DE43CF" w:rsidP="00DE43CF">
      <w:pPr>
        <w:rPr>
          <w:rFonts w:ascii="Times New Roman" w:hAnsi="Times New Roman" w:cs="Times New Roman"/>
          <w:sz w:val="20"/>
          <w:szCs w:val="20"/>
        </w:rPr>
      </w:pPr>
    </w:p>
    <w:p w:rsidR="00DE43CF" w:rsidRPr="00DE43CF" w:rsidRDefault="00DE43CF" w:rsidP="00DE43CF">
      <w:pPr>
        <w:spacing w:line="360" w:lineRule="auto"/>
      </w:pPr>
      <w:r w:rsidRPr="00B01E87">
        <w:rPr>
          <w:rFonts w:ascii="Times New Roman" w:hAnsi="Times New Roman" w:cs="Times New Roman"/>
          <w:sz w:val="20"/>
          <w:szCs w:val="20"/>
        </w:rPr>
        <w:t>Fonte: Elaborado pelo autor</w:t>
      </w:r>
      <w:r>
        <w:rPr>
          <w:rFonts w:ascii="Times New Roman" w:hAnsi="Times New Roman" w:cs="Times New Roman"/>
          <w:sz w:val="20"/>
          <w:szCs w:val="20"/>
        </w:rPr>
        <w:t xml:space="preserve">. Dados estatísticos do </w:t>
      </w:r>
      <w:r w:rsidRPr="00B01E87">
        <w:rPr>
          <w:rFonts w:ascii="Times New Roman" w:hAnsi="Times New Roman" w:cs="Times New Roman"/>
          <w:sz w:val="20"/>
          <w:szCs w:val="20"/>
        </w:rPr>
        <w:t>Banco de Portugal</w:t>
      </w:r>
      <w:r>
        <w:rPr>
          <w:rFonts w:ascii="Times New Roman" w:hAnsi="Times New Roman" w:cs="Times New Roman"/>
          <w:sz w:val="20"/>
          <w:szCs w:val="20"/>
        </w:rPr>
        <w:t xml:space="preserve"> e do </w:t>
      </w:r>
      <w:r w:rsidRPr="00B01E87">
        <w:rPr>
          <w:rFonts w:ascii="Times New Roman" w:hAnsi="Times New Roman" w:cs="Times New Roman"/>
          <w:sz w:val="20"/>
          <w:szCs w:val="20"/>
        </w:rPr>
        <w:t>Banco de Cabo Verde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3CF" w:rsidRPr="00885500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500">
        <w:rPr>
          <w:rFonts w:ascii="Times New Roman" w:hAnsi="Times New Roman" w:cs="Times New Roman"/>
          <w:sz w:val="24"/>
          <w:szCs w:val="24"/>
        </w:rPr>
        <w:lastRenderedPageBreak/>
        <w:t>Gráfico 2</w:t>
      </w:r>
    </w:p>
    <w:p w:rsidR="00DE43CF" w:rsidRDefault="00DE43CF" w:rsidP="00DE43CF">
      <w:pPr>
        <w:rPr>
          <w:b/>
          <w:szCs w:val="24"/>
        </w:rPr>
      </w:pPr>
      <w:r w:rsidRPr="008C0ABE">
        <w:rPr>
          <w:b/>
          <w:noProof/>
          <w:szCs w:val="24"/>
          <w:lang w:eastAsia="pt-PT"/>
        </w:rPr>
        <w:drawing>
          <wp:inline distT="0" distB="0" distL="0" distR="0">
            <wp:extent cx="4335881" cy="2354783"/>
            <wp:effectExtent l="19050" t="0" r="26569" b="7417"/>
            <wp:docPr id="4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b/>
          <w:szCs w:val="24"/>
        </w:rPr>
        <w:t xml:space="preserve"> </w:t>
      </w:r>
    </w:p>
    <w:p w:rsidR="00DE43CF" w:rsidRDefault="00DE43CF" w:rsidP="00DE43CF">
      <w:pPr>
        <w:rPr>
          <w:rFonts w:ascii="Times New Roman" w:hAnsi="Times New Roman" w:cs="Times New Roman"/>
          <w:sz w:val="20"/>
          <w:szCs w:val="20"/>
        </w:rPr>
      </w:pPr>
    </w:p>
    <w:p w:rsidR="00DE43CF" w:rsidRPr="00B01E87" w:rsidRDefault="00DE43CF" w:rsidP="00DE43CF">
      <w:pPr>
        <w:rPr>
          <w:rFonts w:ascii="Times New Roman" w:hAnsi="Times New Roman" w:cs="Times New Roman"/>
          <w:sz w:val="20"/>
          <w:szCs w:val="20"/>
        </w:rPr>
      </w:pPr>
      <w:r w:rsidRPr="00B01E87">
        <w:rPr>
          <w:rFonts w:ascii="Times New Roman" w:hAnsi="Times New Roman" w:cs="Times New Roman"/>
          <w:sz w:val="20"/>
          <w:szCs w:val="20"/>
        </w:rPr>
        <w:t>Fonte: Elaborado pelo autor</w:t>
      </w:r>
      <w:r>
        <w:rPr>
          <w:rFonts w:ascii="Times New Roman" w:hAnsi="Times New Roman" w:cs="Times New Roman"/>
          <w:sz w:val="20"/>
          <w:szCs w:val="20"/>
        </w:rPr>
        <w:t xml:space="preserve">. Dados estatísticos do </w:t>
      </w:r>
      <w:r w:rsidRPr="00B01E87">
        <w:rPr>
          <w:rFonts w:ascii="Times New Roman" w:hAnsi="Times New Roman" w:cs="Times New Roman"/>
          <w:sz w:val="20"/>
          <w:szCs w:val="20"/>
        </w:rPr>
        <w:t>Banco de Portugal</w:t>
      </w:r>
      <w:r>
        <w:rPr>
          <w:rFonts w:ascii="Times New Roman" w:hAnsi="Times New Roman" w:cs="Times New Roman"/>
          <w:sz w:val="20"/>
          <w:szCs w:val="20"/>
        </w:rPr>
        <w:t xml:space="preserve"> e do </w:t>
      </w:r>
      <w:r w:rsidRPr="00B01E87">
        <w:rPr>
          <w:rFonts w:ascii="Times New Roman" w:hAnsi="Times New Roman" w:cs="Times New Roman"/>
          <w:sz w:val="20"/>
          <w:szCs w:val="20"/>
        </w:rPr>
        <w:t>Banco de Cabo Verde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43CF" w:rsidRDefault="00DE43CF" w:rsidP="00DE43CF">
      <w:pPr>
        <w:rPr>
          <w:b/>
          <w:szCs w:val="24"/>
        </w:rPr>
      </w:pPr>
    </w:p>
    <w:p w:rsidR="00DE43CF" w:rsidRDefault="00DE43CF" w:rsidP="00DE43CF">
      <w:pPr>
        <w:rPr>
          <w:rFonts w:ascii="Times New Roman" w:hAnsi="Times New Roman" w:cs="Times New Roman"/>
          <w:sz w:val="24"/>
          <w:szCs w:val="24"/>
        </w:rPr>
      </w:pPr>
    </w:p>
    <w:p w:rsidR="00DE43CF" w:rsidRPr="00885500" w:rsidRDefault="00DE43CF" w:rsidP="00DE43CF">
      <w:pPr>
        <w:rPr>
          <w:rFonts w:ascii="Times New Roman" w:hAnsi="Times New Roman" w:cs="Times New Roman"/>
          <w:sz w:val="24"/>
          <w:szCs w:val="24"/>
        </w:rPr>
      </w:pPr>
      <w:r w:rsidRPr="00885500">
        <w:rPr>
          <w:rFonts w:ascii="Times New Roman" w:hAnsi="Times New Roman" w:cs="Times New Roman"/>
          <w:sz w:val="24"/>
          <w:szCs w:val="24"/>
        </w:rPr>
        <w:t>Gráfico 3</w:t>
      </w:r>
    </w:p>
    <w:p w:rsidR="00DE43CF" w:rsidRDefault="00DE43CF" w:rsidP="00DE43CF">
      <w:pPr>
        <w:rPr>
          <w:b/>
          <w:szCs w:val="24"/>
        </w:rPr>
      </w:pPr>
      <w:r w:rsidRPr="00685005">
        <w:rPr>
          <w:b/>
          <w:noProof/>
          <w:szCs w:val="24"/>
          <w:lang w:eastAsia="pt-PT"/>
        </w:rPr>
        <w:drawing>
          <wp:inline distT="0" distB="0" distL="0" distR="0">
            <wp:extent cx="4399201" cy="1821180"/>
            <wp:effectExtent l="19050" t="0" r="20399" b="7620"/>
            <wp:docPr id="5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43CF" w:rsidRDefault="00DE43CF" w:rsidP="00DE43CF">
      <w:pPr>
        <w:rPr>
          <w:szCs w:val="24"/>
        </w:rPr>
      </w:pPr>
      <w:r>
        <w:rPr>
          <w:szCs w:val="24"/>
        </w:rPr>
        <w:t xml:space="preserve"> </w:t>
      </w:r>
    </w:p>
    <w:p w:rsidR="00DE43CF" w:rsidRPr="00B01E87" w:rsidRDefault="00DE43CF" w:rsidP="00DE43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01E87">
        <w:rPr>
          <w:rFonts w:ascii="Times New Roman" w:hAnsi="Times New Roman" w:cs="Times New Roman"/>
          <w:sz w:val="20"/>
          <w:szCs w:val="20"/>
        </w:rPr>
        <w:t>Fonte: Elaborado pelo autor</w:t>
      </w:r>
      <w:r>
        <w:rPr>
          <w:rFonts w:ascii="Times New Roman" w:hAnsi="Times New Roman" w:cs="Times New Roman"/>
          <w:sz w:val="20"/>
          <w:szCs w:val="20"/>
        </w:rPr>
        <w:t xml:space="preserve">. Dados estatísticos do </w:t>
      </w:r>
      <w:r w:rsidRPr="00B01E87">
        <w:rPr>
          <w:rFonts w:ascii="Times New Roman" w:hAnsi="Times New Roman" w:cs="Times New Roman"/>
          <w:sz w:val="20"/>
          <w:szCs w:val="20"/>
        </w:rPr>
        <w:t>Banco de Portugal</w:t>
      </w:r>
      <w:r>
        <w:rPr>
          <w:rFonts w:ascii="Times New Roman" w:hAnsi="Times New Roman" w:cs="Times New Roman"/>
          <w:sz w:val="20"/>
          <w:szCs w:val="20"/>
        </w:rPr>
        <w:t xml:space="preserve"> e do </w:t>
      </w:r>
      <w:r w:rsidRPr="00B01E87">
        <w:rPr>
          <w:rFonts w:ascii="Times New Roman" w:hAnsi="Times New Roman" w:cs="Times New Roman"/>
          <w:sz w:val="20"/>
          <w:szCs w:val="20"/>
        </w:rPr>
        <w:t>Banco de Cabo Verde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43CF" w:rsidRDefault="00DE43CF" w:rsidP="00DE43CF">
      <w:pPr>
        <w:rPr>
          <w:rFonts w:ascii="Times New Roman" w:hAnsi="Times New Roman" w:cs="Times New Roman"/>
          <w:sz w:val="24"/>
          <w:szCs w:val="24"/>
        </w:rPr>
      </w:pPr>
    </w:p>
    <w:p w:rsidR="00DE43CF" w:rsidRPr="00885500" w:rsidRDefault="00DE43CF" w:rsidP="00DE43CF">
      <w:pPr>
        <w:rPr>
          <w:rFonts w:ascii="Times New Roman" w:hAnsi="Times New Roman" w:cs="Times New Roman"/>
          <w:sz w:val="24"/>
          <w:szCs w:val="24"/>
        </w:rPr>
      </w:pPr>
      <w:r w:rsidRPr="00885500">
        <w:rPr>
          <w:rFonts w:ascii="Times New Roman" w:hAnsi="Times New Roman" w:cs="Times New Roman"/>
          <w:sz w:val="24"/>
          <w:szCs w:val="24"/>
        </w:rPr>
        <w:t>Gráfico 4</w:t>
      </w:r>
    </w:p>
    <w:p w:rsidR="00DE43CF" w:rsidRDefault="00D812FF" w:rsidP="00DE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6pt;margin-top:167.05pt;width:354.25pt;height:1.25pt;flip:y;z-index:251654656" o:connectortype="straight"/>
        </w:pict>
      </w:r>
      <w:r w:rsidR="00DE43CF" w:rsidRPr="00685005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4504397" cy="2136297"/>
            <wp:effectExtent l="19050" t="0" r="10453" b="0"/>
            <wp:docPr id="6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43CF" w:rsidRDefault="00DE43CF" w:rsidP="00DE43CF">
      <w:pPr>
        <w:rPr>
          <w:rFonts w:ascii="Times New Roman" w:hAnsi="Times New Roman" w:cs="Times New Roman"/>
          <w:sz w:val="20"/>
          <w:szCs w:val="20"/>
        </w:rPr>
      </w:pPr>
    </w:p>
    <w:p w:rsidR="00DE43CF" w:rsidRPr="00B01E87" w:rsidRDefault="00DE43CF" w:rsidP="00DE43CF">
      <w:pPr>
        <w:rPr>
          <w:rFonts w:ascii="Times New Roman" w:hAnsi="Times New Roman" w:cs="Times New Roman"/>
          <w:sz w:val="20"/>
          <w:szCs w:val="20"/>
        </w:rPr>
      </w:pPr>
      <w:r w:rsidRPr="00B01E87">
        <w:rPr>
          <w:rFonts w:ascii="Times New Roman" w:hAnsi="Times New Roman" w:cs="Times New Roman"/>
          <w:sz w:val="20"/>
          <w:szCs w:val="20"/>
        </w:rPr>
        <w:t>Fonte: Elaborado pelo autor</w:t>
      </w:r>
      <w:r>
        <w:rPr>
          <w:rFonts w:ascii="Times New Roman" w:hAnsi="Times New Roman" w:cs="Times New Roman"/>
          <w:sz w:val="20"/>
          <w:szCs w:val="20"/>
        </w:rPr>
        <w:t xml:space="preserve">. Dados estatísticos do </w:t>
      </w:r>
      <w:r w:rsidRPr="00B01E87">
        <w:rPr>
          <w:rFonts w:ascii="Times New Roman" w:hAnsi="Times New Roman" w:cs="Times New Roman"/>
          <w:sz w:val="20"/>
          <w:szCs w:val="20"/>
        </w:rPr>
        <w:t>Banco de Portugal</w:t>
      </w:r>
      <w:r>
        <w:rPr>
          <w:rFonts w:ascii="Times New Roman" w:hAnsi="Times New Roman" w:cs="Times New Roman"/>
          <w:sz w:val="20"/>
          <w:szCs w:val="20"/>
        </w:rPr>
        <w:t xml:space="preserve"> e do </w:t>
      </w:r>
      <w:r w:rsidRPr="00B01E87">
        <w:rPr>
          <w:rFonts w:ascii="Times New Roman" w:hAnsi="Times New Roman" w:cs="Times New Roman"/>
          <w:sz w:val="20"/>
          <w:szCs w:val="20"/>
        </w:rPr>
        <w:t>Banco de Cabo Verde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3CF" w:rsidRDefault="00DE43CF" w:rsidP="00DE43CF">
      <w:pPr>
        <w:rPr>
          <w:rFonts w:ascii="Times New Roman" w:hAnsi="Times New Roman" w:cs="Times New Roman"/>
          <w:sz w:val="24"/>
          <w:szCs w:val="24"/>
        </w:rPr>
      </w:pPr>
    </w:p>
    <w:p w:rsidR="00DE43CF" w:rsidRPr="007D6E26" w:rsidRDefault="00DE43CF" w:rsidP="00DE43CF">
      <w:pPr>
        <w:rPr>
          <w:rFonts w:ascii="Times New Roman" w:hAnsi="Times New Roman" w:cs="Times New Roman"/>
          <w:sz w:val="24"/>
          <w:szCs w:val="24"/>
        </w:rPr>
      </w:pPr>
      <w:r w:rsidRPr="007D6E26">
        <w:rPr>
          <w:rFonts w:ascii="Times New Roman" w:hAnsi="Times New Roman" w:cs="Times New Roman"/>
          <w:sz w:val="24"/>
          <w:szCs w:val="24"/>
        </w:rPr>
        <w:lastRenderedPageBreak/>
        <w:t>Gráfico 5</w:t>
      </w:r>
    </w:p>
    <w:p w:rsidR="00DE43CF" w:rsidRDefault="00DE43CF" w:rsidP="00DE43CF">
      <w:pPr>
        <w:rPr>
          <w:rFonts w:ascii="Times New Roman" w:hAnsi="Times New Roman" w:cs="Times New Roman"/>
          <w:sz w:val="24"/>
          <w:szCs w:val="24"/>
        </w:rPr>
      </w:pPr>
      <w:r w:rsidRPr="009F61A4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5038472" cy="2161045"/>
            <wp:effectExtent l="19050" t="0" r="9778" b="0"/>
            <wp:docPr id="7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43CF" w:rsidRDefault="00D812FF" w:rsidP="00DE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pict>
          <v:shape id="_x0000_s1028" type="#_x0000_t32" style="position:absolute;left:0;text-align:left;margin-left:1.6pt;margin-top:.3pt;width:396.95pt;height:0;z-index:251660800" o:connectortype="straight"/>
        </w:pict>
      </w:r>
    </w:p>
    <w:p w:rsidR="00DE43CF" w:rsidRPr="00A27D74" w:rsidRDefault="00DE43CF" w:rsidP="00DE43CF">
      <w:pPr>
        <w:rPr>
          <w:rFonts w:ascii="Times New Roman" w:hAnsi="Times New Roman" w:cs="Times New Roman"/>
          <w:sz w:val="24"/>
          <w:szCs w:val="24"/>
        </w:rPr>
      </w:pPr>
      <w:r w:rsidRPr="00B01E87">
        <w:rPr>
          <w:rFonts w:ascii="Times New Roman" w:hAnsi="Times New Roman" w:cs="Times New Roman"/>
          <w:sz w:val="20"/>
          <w:szCs w:val="20"/>
        </w:rPr>
        <w:t>Fonte: Elaborado pelo autor</w:t>
      </w:r>
      <w:r>
        <w:rPr>
          <w:rFonts w:ascii="Times New Roman" w:hAnsi="Times New Roman" w:cs="Times New Roman"/>
          <w:sz w:val="20"/>
          <w:szCs w:val="20"/>
        </w:rPr>
        <w:t xml:space="preserve">. Dados estatísticos do </w:t>
      </w:r>
      <w:r w:rsidRPr="00B01E87">
        <w:rPr>
          <w:rFonts w:ascii="Times New Roman" w:hAnsi="Times New Roman" w:cs="Times New Roman"/>
          <w:sz w:val="20"/>
          <w:szCs w:val="20"/>
        </w:rPr>
        <w:t>Banco de Portugal</w:t>
      </w:r>
      <w:r>
        <w:rPr>
          <w:rFonts w:ascii="Times New Roman" w:hAnsi="Times New Roman" w:cs="Times New Roman"/>
          <w:sz w:val="20"/>
          <w:szCs w:val="20"/>
        </w:rPr>
        <w:t xml:space="preserve"> e do </w:t>
      </w:r>
      <w:r w:rsidRPr="00B01E87">
        <w:rPr>
          <w:rFonts w:ascii="Times New Roman" w:hAnsi="Times New Roman" w:cs="Times New Roman"/>
          <w:sz w:val="20"/>
          <w:szCs w:val="20"/>
        </w:rPr>
        <w:t>Banco de Cabo Verde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43CF" w:rsidRDefault="00DE43CF" w:rsidP="00DE43CF">
      <w:pPr>
        <w:rPr>
          <w:rFonts w:ascii="Times New Roman" w:hAnsi="Times New Roman" w:cs="Times New Roman"/>
          <w:sz w:val="24"/>
          <w:szCs w:val="24"/>
        </w:rPr>
      </w:pPr>
    </w:p>
    <w:p w:rsidR="00DE43CF" w:rsidRDefault="00DE43CF" w:rsidP="00DE43CF">
      <w:pPr>
        <w:rPr>
          <w:rFonts w:ascii="Times New Roman" w:hAnsi="Times New Roman" w:cs="Times New Roman"/>
          <w:sz w:val="24"/>
          <w:szCs w:val="24"/>
        </w:rPr>
      </w:pPr>
    </w:p>
    <w:p w:rsidR="00DE43CF" w:rsidRPr="00ED1BC2" w:rsidRDefault="00DE43CF" w:rsidP="00DE43CF">
      <w:pPr>
        <w:rPr>
          <w:rFonts w:ascii="Times New Roman" w:hAnsi="Times New Roman" w:cs="Times New Roman"/>
          <w:sz w:val="24"/>
          <w:szCs w:val="24"/>
        </w:rPr>
      </w:pPr>
      <w:r w:rsidRPr="00ED1BC2">
        <w:rPr>
          <w:rFonts w:ascii="Times New Roman" w:hAnsi="Times New Roman" w:cs="Times New Roman"/>
          <w:sz w:val="24"/>
          <w:szCs w:val="24"/>
        </w:rPr>
        <w:t>Gráfico 6</w:t>
      </w:r>
    </w:p>
    <w:p w:rsidR="00DE43CF" w:rsidRDefault="00D812FF" w:rsidP="00DE43CF">
      <w:pPr>
        <w:rPr>
          <w:sz w:val="20"/>
          <w:szCs w:val="20"/>
        </w:rPr>
      </w:pPr>
      <w:r w:rsidRPr="00D812FF">
        <w:rPr>
          <w:noProof/>
          <w:lang w:eastAsia="pt-PT"/>
        </w:rPr>
        <w:pict>
          <v:shape id="_x0000_s1031" type="#_x0000_t32" style="position:absolute;left:0;text-align:left;margin-left:.95pt;margin-top:161.95pt;width:368.95pt;height:.6pt;flip:y;z-index:251655680" o:connectortype="straight"/>
        </w:pict>
      </w:r>
      <w:r w:rsidRPr="00D812FF">
        <w:rPr>
          <w:noProof/>
          <w:lang w:eastAsia="pt-PT"/>
        </w:rPr>
        <w:pict>
          <v:shape id="_x0000_s1030" type="#_x0000_t32" style="position:absolute;left:0;text-align:left;margin-left:66.6pt;margin-top:166.4pt;width:.65pt;height:0;z-index:251656704" o:connectortype="straight"/>
        </w:pict>
      </w:r>
      <w:r w:rsidR="00DE43CF" w:rsidRPr="001909DF">
        <w:rPr>
          <w:noProof/>
          <w:lang w:eastAsia="pt-PT"/>
        </w:rPr>
        <w:drawing>
          <wp:inline distT="0" distB="0" distL="0" distR="0">
            <wp:extent cx="4685743" cy="2071561"/>
            <wp:effectExtent l="19050" t="0" r="19607" b="4889"/>
            <wp:docPr id="1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43CF" w:rsidRDefault="00DE43CF" w:rsidP="00DE43CF">
      <w:pPr>
        <w:rPr>
          <w:rFonts w:ascii="Times New Roman" w:hAnsi="Times New Roman" w:cs="Times New Roman"/>
          <w:sz w:val="20"/>
          <w:szCs w:val="20"/>
        </w:rPr>
      </w:pP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01E87">
        <w:rPr>
          <w:rFonts w:ascii="Times New Roman" w:hAnsi="Times New Roman" w:cs="Times New Roman"/>
          <w:sz w:val="20"/>
          <w:szCs w:val="20"/>
        </w:rPr>
        <w:t>Fonte: Elaborado pelo autor</w:t>
      </w:r>
      <w:r>
        <w:rPr>
          <w:rFonts w:ascii="Times New Roman" w:hAnsi="Times New Roman" w:cs="Times New Roman"/>
          <w:sz w:val="20"/>
          <w:szCs w:val="20"/>
        </w:rPr>
        <w:t xml:space="preserve">. Dados estatísticos do </w:t>
      </w:r>
      <w:r w:rsidRPr="00B01E87">
        <w:rPr>
          <w:rFonts w:ascii="Times New Roman" w:hAnsi="Times New Roman" w:cs="Times New Roman"/>
          <w:sz w:val="20"/>
          <w:szCs w:val="20"/>
        </w:rPr>
        <w:t>Banco de Portugal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3CF" w:rsidRPr="005E404F" w:rsidRDefault="00DE43CF" w:rsidP="00DE43CF">
      <w:pPr>
        <w:rPr>
          <w:rFonts w:ascii="Times New Roman" w:hAnsi="Times New Roman" w:cs="Times New Roman"/>
          <w:sz w:val="20"/>
          <w:szCs w:val="20"/>
        </w:rPr>
      </w:pPr>
      <w:r w:rsidRPr="00ED1BC2">
        <w:rPr>
          <w:rFonts w:ascii="Times New Roman" w:hAnsi="Times New Roman" w:cs="Times New Roman"/>
          <w:sz w:val="24"/>
          <w:szCs w:val="24"/>
        </w:rPr>
        <w:t>Gráfico 7</w:t>
      </w:r>
    </w:p>
    <w:p w:rsidR="00DE43CF" w:rsidRPr="0081226E" w:rsidRDefault="00DE43CF" w:rsidP="00DE43CF">
      <w:pPr>
        <w:rPr>
          <w:rFonts w:ascii="Times New Roman" w:hAnsi="Times New Roman" w:cs="Times New Roman"/>
          <w:sz w:val="20"/>
          <w:szCs w:val="20"/>
        </w:rPr>
      </w:pPr>
      <w:r w:rsidRPr="00F06915">
        <w:rPr>
          <w:rFonts w:ascii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>
            <wp:extent cx="4706698" cy="1821180"/>
            <wp:effectExtent l="19050" t="0" r="17702" b="7620"/>
            <wp:docPr id="1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43CF" w:rsidRDefault="00DE43CF" w:rsidP="00DE43CF">
      <w:pPr>
        <w:rPr>
          <w:rFonts w:ascii="Times New Roman" w:hAnsi="Times New Roman" w:cs="Times New Roman"/>
          <w:sz w:val="20"/>
          <w:szCs w:val="20"/>
        </w:rPr>
      </w:pPr>
    </w:p>
    <w:p w:rsidR="00DE43CF" w:rsidRPr="00B01E87" w:rsidRDefault="00DE43CF" w:rsidP="00DE43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01E87">
        <w:rPr>
          <w:rFonts w:ascii="Times New Roman" w:hAnsi="Times New Roman" w:cs="Times New Roman"/>
          <w:sz w:val="20"/>
          <w:szCs w:val="20"/>
        </w:rPr>
        <w:t>Fonte: Elaborado pelo autor</w:t>
      </w:r>
      <w:r>
        <w:rPr>
          <w:rFonts w:ascii="Times New Roman" w:hAnsi="Times New Roman" w:cs="Times New Roman"/>
          <w:sz w:val="20"/>
          <w:szCs w:val="20"/>
        </w:rPr>
        <w:t xml:space="preserve">. Dados estatísticos do </w:t>
      </w:r>
      <w:r w:rsidRPr="00B01E87">
        <w:rPr>
          <w:rFonts w:ascii="Times New Roman" w:hAnsi="Times New Roman" w:cs="Times New Roman"/>
          <w:sz w:val="20"/>
          <w:szCs w:val="20"/>
        </w:rPr>
        <w:t>Banco de Portugal</w:t>
      </w:r>
      <w:r>
        <w:rPr>
          <w:rFonts w:ascii="Times New Roman" w:hAnsi="Times New Roman" w:cs="Times New Roman"/>
          <w:sz w:val="20"/>
          <w:szCs w:val="20"/>
        </w:rPr>
        <w:t xml:space="preserve"> e INE S. Tomé e Príncipe. </w:t>
      </w: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lastRenderedPageBreak/>
        <w:t xml:space="preserve">Gráfico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744E8" w:rsidRDefault="00DE43CF" w:rsidP="00DE43CF">
      <w:pPr>
        <w:rPr>
          <w:b/>
          <w:szCs w:val="24"/>
        </w:rPr>
      </w:pPr>
      <w:r w:rsidRPr="00F06915">
        <w:rPr>
          <w:b/>
          <w:noProof/>
          <w:szCs w:val="24"/>
          <w:lang w:eastAsia="pt-PT"/>
        </w:rPr>
        <w:drawing>
          <wp:inline distT="0" distB="0" distL="0" distR="0">
            <wp:extent cx="4705737" cy="1917650"/>
            <wp:effectExtent l="19050" t="0" r="18663" b="6400"/>
            <wp:docPr id="1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44E8" w:rsidRPr="003744E8" w:rsidRDefault="003744E8" w:rsidP="00DE43CF">
      <w:pPr>
        <w:rPr>
          <w:b/>
          <w:szCs w:val="24"/>
        </w:rPr>
      </w:pPr>
    </w:p>
    <w:p w:rsidR="00DE43CF" w:rsidRPr="00B01E87" w:rsidRDefault="00DE43CF" w:rsidP="00DE43CF">
      <w:pPr>
        <w:rPr>
          <w:rFonts w:ascii="Times New Roman" w:hAnsi="Times New Roman" w:cs="Times New Roman"/>
          <w:sz w:val="20"/>
          <w:szCs w:val="20"/>
        </w:rPr>
      </w:pPr>
      <w:r w:rsidRPr="00B01E87">
        <w:rPr>
          <w:rFonts w:ascii="Times New Roman" w:hAnsi="Times New Roman" w:cs="Times New Roman"/>
          <w:sz w:val="20"/>
          <w:szCs w:val="20"/>
        </w:rPr>
        <w:t>Fonte: Elaborado pelo autor</w:t>
      </w:r>
      <w:r>
        <w:rPr>
          <w:rFonts w:ascii="Times New Roman" w:hAnsi="Times New Roman" w:cs="Times New Roman"/>
          <w:sz w:val="20"/>
          <w:szCs w:val="20"/>
        </w:rPr>
        <w:t xml:space="preserve">. Dados estatísticos do </w:t>
      </w:r>
      <w:r w:rsidRPr="00B01E87">
        <w:rPr>
          <w:rFonts w:ascii="Times New Roman" w:hAnsi="Times New Roman" w:cs="Times New Roman"/>
          <w:sz w:val="20"/>
          <w:szCs w:val="20"/>
        </w:rPr>
        <w:t>Banco de Portugal</w:t>
      </w:r>
      <w:r>
        <w:rPr>
          <w:rFonts w:ascii="Times New Roman" w:hAnsi="Times New Roman" w:cs="Times New Roman"/>
          <w:sz w:val="20"/>
          <w:szCs w:val="20"/>
        </w:rPr>
        <w:t xml:space="preserve"> e INE S. Tomé e Príncipe. </w:t>
      </w:r>
    </w:p>
    <w:p w:rsidR="00DE43CF" w:rsidRDefault="00DE43CF" w:rsidP="00DE43CF">
      <w:pPr>
        <w:rPr>
          <w:rFonts w:ascii="Times New Roman" w:hAnsi="Times New Roman" w:cs="Times New Roman"/>
          <w:sz w:val="24"/>
          <w:szCs w:val="24"/>
        </w:rPr>
      </w:pPr>
    </w:p>
    <w:p w:rsidR="00DE43CF" w:rsidRPr="00A959D3" w:rsidRDefault="00DE43CF" w:rsidP="00DE43CF">
      <w:pPr>
        <w:rPr>
          <w:rFonts w:ascii="Times New Roman" w:hAnsi="Times New Roman" w:cs="Times New Roman"/>
          <w:sz w:val="24"/>
          <w:szCs w:val="24"/>
        </w:rPr>
      </w:pPr>
      <w:r w:rsidRPr="00A959D3">
        <w:rPr>
          <w:rFonts w:ascii="Times New Roman" w:hAnsi="Times New Roman" w:cs="Times New Roman"/>
          <w:sz w:val="24"/>
          <w:szCs w:val="24"/>
        </w:rPr>
        <w:t>Gráfico 9</w:t>
      </w:r>
    </w:p>
    <w:p w:rsidR="00DE43CF" w:rsidRDefault="00DE43CF" w:rsidP="00DE43CF">
      <w:r w:rsidRPr="00F06915">
        <w:rPr>
          <w:noProof/>
          <w:lang w:eastAsia="pt-PT"/>
        </w:rPr>
        <w:drawing>
          <wp:inline distT="0" distB="0" distL="0" distR="0">
            <wp:extent cx="4739067" cy="2346690"/>
            <wp:effectExtent l="19050" t="0" r="23433" b="0"/>
            <wp:docPr id="13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43CF" w:rsidRDefault="00D812FF" w:rsidP="00DE43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PT"/>
        </w:rPr>
        <w:pict>
          <v:shape id="_x0000_s1032" type="#_x0000_t32" style="position:absolute;left:0;text-align:left;margin-left:.95pt;margin-top:.05pt;width:373.4pt;height:.65pt;flip:y;z-index:251657728" o:connectortype="straight"/>
        </w:pict>
      </w:r>
    </w:p>
    <w:p w:rsidR="00DE43CF" w:rsidRPr="00B01E87" w:rsidRDefault="00DE43CF" w:rsidP="00DE43CF">
      <w:pPr>
        <w:rPr>
          <w:rFonts w:ascii="Times New Roman" w:hAnsi="Times New Roman" w:cs="Times New Roman"/>
          <w:sz w:val="20"/>
          <w:szCs w:val="20"/>
        </w:rPr>
      </w:pPr>
      <w:r w:rsidRPr="00B01E87">
        <w:rPr>
          <w:rFonts w:ascii="Times New Roman" w:hAnsi="Times New Roman" w:cs="Times New Roman"/>
          <w:sz w:val="20"/>
          <w:szCs w:val="20"/>
        </w:rPr>
        <w:t>Fonte: Elaborado pelo autor</w:t>
      </w:r>
      <w:r>
        <w:rPr>
          <w:rFonts w:ascii="Times New Roman" w:hAnsi="Times New Roman" w:cs="Times New Roman"/>
          <w:sz w:val="20"/>
          <w:szCs w:val="20"/>
        </w:rPr>
        <w:t xml:space="preserve">. Dados estatísticos do </w:t>
      </w:r>
      <w:r w:rsidRPr="00B01E87">
        <w:rPr>
          <w:rFonts w:ascii="Times New Roman" w:hAnsi="Times New Roman" w:cs="Times New Roman"/>
          <w:sz w:val="20"/>
          <w:szCs w:val="20"/>
        </w:rPr>
        <w:t>Banco de Portugal</w:t>
      </w:r>
      <w:r>
        <w:rPr>
          <w:rFonts w:ascii="Times New Roman" w:hAnsi="Times New Roman" w:cs="Times New Roman"/>
          <w:sz w:val="20"/>
          <w:szCs w:val="20"/>
        </w:rPr>
        <w:t xml:space="preserve"> e INE S. Tomé e Príncipe. </w:t>
      </w:r>
    </w:p>
    <w:p w:rsidR="00DE43CF" w:rsidRDefault="00DE43CF" w:rsidP="00DE43CF">
      <w:pPr>
        <w:rPr>
          <w:rFonts w:ascii="Times New Roman" w:hAnsi="Times New Roman" w:cs="Times New Roman"/>
          <w:sz w:val="24"/>
          <w:szCs w:val="24"/>
        </w:rPr>
      </w:pPr>
    </w:p>
    <w:p w:rsidR="00DE43CF" w:rsidRDefault="00DE43CF" w:rsidP="00DE43CF">
      <w:pPr>
        <w:rPr>
          <w:rFonts w:ascii="Times New Roman" w:hAnsi="Times New Roman" w:cs="Times New Roman"/>
          <w:sz w:val="24"/>
          <w:szCs w:val="24"/>
        </w:rPr>
      </w:pPr>
    </w:p>
    <w:p w:rsidR="00DE43CF" w:rsidRPr="00A27D74" w:rsidRDefault="00DE43CF" w:rsidP="00DE43CF">
      <w:pPr>
        <w:rPr>
          <w:rFonts w:ascii="Times New Roman" w:hAnsi="Times New Roman" w:cs="Times New Roman"/>
          <w:sz w:val="24"/>
          <w:szCs w:val="24"/>
        </w:rPr>
      </w:pPr>
      <w:r w:rsidRPr="00C503AB">
        <w:rPr>
          <w:rFonts w:ascii="Times New Roman" w:hAnsi="Times New Roman" w:cs="Times New Roman"/>
          <w:sz w:val="24"/>
          <w:szCs w:val="24"/>
        </w:rPr>
        <w:t>Gráfico 10</w:t>
      </w:r>
    </w:p>
    <w:p w:rsidR="00DE43CF" w:rsidRDefault="00D812FF" w:rsidP="00DE43CF">
      <w:pPr>
        <w:spacing w:line="240" w:lineRule="atLeast"/>
        <w:ind w:left="705" w:hanging="705"/>
        <w:rPr>
          <w:b/>
          <w:szCs w:val="24"/>
        </w:rPr>
      </w:pPr>
      <w:r>
        <w:rPr>
          <w:b/>
          <w:noProof/>
          <w:szCs w:val="24"/>
          <w:lang w:eastAsia="pt-PT"/>
        </w:rPr>
        <w:pict>
          <v:shape id="_x0000_s1027" type="#_x0000_t32" style="position:absolute;left:0;text-align:left;margin-left:1.6pt;margin-top:185.45pt;width:408.45pt;height:.05pt;z-index:251659776" o:connectortype="straight"/>
        </w:pict>
      </w:r>
      <w:r w:rsidR="00DE43CF" w:rsidRPr="00E95587">
        <w:rPr>
          <w:b/>
          <w:noProof/>
          <w:szCs w:val="24"/>
          <w:lang w:eastAsia="pt-PT"/>
        </w:rPr>
        <w:drawing>
          <wp:inline distT="0" distB="0" distL="0" distR="0">
            <wp:extent cx="5191097" cy="2362874"/>
            <wp:effectExtent l="19050" t="0" r="9553" b="0"/>
            <wp:docPr id="16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43CF" w:rsidRDefault="00DE43CF" w:rsidP="00DE43CF">
      <w:pPr>
        <w:rPr>
          <w:rFonts w:ascii="Times New Roman" w:hAnsi="Times New Roman" w:cs="Times New Roman"/>
          <w:sz w:val="20"/>
          <w:szCs w:val="20"/>
        </w:rPr>
      </w:pPr>
    </w:p>
    <w:p w:rsidR="00DE43CF" w:rsidRPr="00B01E87" w:rsidRDefault="00DE43CF" w:rsidP="00DE43CF">
      <w:pPr>
        <w:rPr>
          <w:rFonts w:ascii="Times New Roman" w:hAnsi="Times New Roman" w:cs="Times New Roman"/>
          <w:sz w:val="20"/>
          <w:szCs w:val="20"/>
        </w:rPr>
      </w:pPr>
      <w:r w:rsidRPr="00B01E87">
        <w:rPr>
          <w:rFonts w:ascii="Times New Roman" w:hAnsi="Times New Roman" w:cs="Times New Roman"/>
          <w:sz w:val="20"/>
          <w:szCs w:val="20"/>
        </w:rPr>
        <w:t>Fonte: Elaborado pelo autor</w:t>
      </w:r>
      <w:r>
        <w:rPr>
          <w:rFonts w:ascii="Times New Roman" w:hAnsi="Times New Roman" w:cs="Times New Roman"/>
          <w:sz w:val="20"/>
          <w:szCs w:val="20"/>
        </w:rPr>
        <w:t xml:space="preserve">. Dados estatísticos do </w:t>
      </w:r>
      <w:r w:rsidRPr="00B01E87">
        <w:rPr>
          <w:rFonts w:ascii="Times New Roman" w:hAnsi="Times New Roman" w:cs="Times New Roman"/>
          <w:sz w:val="20"/>
          <w:szCs w:val="20"/>
        </w:rPr>
        <w:t>Banco de Portugal</w:t>
      </w:r>
      <w:r>
        <w:rPr>
          <w:rFonts w:ascii="Times New Roman" w:hAnsi="Times New Roman" w:cs="Times New Roman"/>
          <w:sz w:val="20"/>
          <w:szCs w:val="20"/>
        </w:rPr>
        <w:t xml:space="preserve"> e INE S. Tomé e Príncipe. </w:t>
      </w:r>
    </w:p>
    <w:p w:rsidR="00DE43CF" w:rsidRDefault="00DE43CF" w:rsidP="00DE43CF">
      <w:pPr>
        <w:rPr>
          <w:rFonts w:ascii="Times New Roman" w:hAnsi="Times New Roman" w:cs="Times New Roman"/>
          <w:sz w:val="24"/>
          <w:szCs w:val="24"/>
        </w:rPr>
      </w:pPr>
    </w:p>
    <w:p w:rsidR="00DE43CF" w:rsidRPr="00A27D74" w:rsidRDefault="00DE43CF" w:rsidP="00DE43C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A5E3A">
        <w:rPr>
          <w:rFonts w:ascii="Times New Roman" w:hAnsi="Times New Roman" w:cs="Times New Roman"/>
          <w:sz w:val="24"/>
          <w:szCs w:val="24"/>
        </w:rPr>
        <w:lastRenderedPageBreak/>
        <w:t>Gráfico 11</w:t>
      </w:r>
    </w:p>
    <w:p w:rsidR="00DE43CF" w:rsidRDefault="00DE43CF" w:rsidP="00DE43CF">
      <w:pPr>
        <w:spacing w:line="240" w:lineRule="atLeast"/>
        <w:ind w:left="705" w:hanging="705"/>
        <w:rPr>
          <w:b/>
          <w:szCs w:val="24"/>
        </w:rPr>
      </w:pPr>
      <w:r w:rsidRPr="00991399">
        <w:rPr>
          <w:b/>
          <w:noProof/>
          <w:szCs w:val="24"/>
          <w:lang w:eastAsia="pt-PT"/>
        </w:rPr>
        <w:drawing>
          <wp:inline distT="0" distB="0" distL="0" distR="0">
            <wp:extent cx="5106529" cy="2298138"/>
            <wp:effectExtent l="19050" t="0" r="17921" b="6912"/>
            <wp:docPr id="15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43CF" w:rsidRDefault="00D812FF" w:rsidP="00DE43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PT"/>
        </w:rPr>
        <w:pict>
          <v:shape id="_x0000_s1026" type="#_x0000_t32" style="position:absolute;left:0;text-align:left;margin-left:1.55pt;margin-top:.4pt;width:402.05pt;height:0;z-index:251658752" o:connectortype="straight"/>
        </w:pict>
      </w:r>
    </w:p>
    <w:p w:rsidR="00DE43CF" w:rsidRDefault="00DE43CF" w:rsidP="00DE43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43EEE">
        <w:rPr>
          <w:rFonts w:ascii="Times New Roman" w:hAnsi="Times New Roman" w:cs="Times New Roman"/>
          <w:sz w:val="20"/>
          <w:szCs w:val="20"/>
        </w:rPr>
        <w:t xml:space="preserve">Fonte: </w:t>
      </w:r>
      <w:r w:rsidRPr="002F11EE">
        <w:rPr>
          <w:rFonts w:ascii="Times New Roman" w:hAnsi="Times New Roman" w:cs="Times New Roman"/>
          <w:sz w:val="20"/>
          <w:szCs w:val="20"/>
        </w:rPr>
        <w:t>Elaborado pelo autor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01E87">
        <w:rPr>
          <w:rFonts w:ascii="Times New Roman" w:hAnsi="Times New Roman" w:cs="Times New Roman"/>
          <w:sz w:val="20"/>
          <w:szCs w:val="20"/>
        </w:rPr>
        <w:t>Banco de Portugal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01E87">
        <w:rPr>
          <w:rFonts w:ascii="Times New Roman" w:hAnsi="Times New Roman" w:cs="Times New Roman"/>
          <w:sz w:val="20"/>
          <w:szCs w:val="20"/>
        </w:rPr>
        <w:t>Banco de Cabo Verde</w:t>
      </w:r>
      <w:r>
        <w:rPr>
          <w:rFonts w:ascii="Times New Roman" w:hAnsi="Times New Roman" w:cs="Times New Roman"/>
          <w:sz w:val="20"/>
          <w:szCs w:val="20"/>
        </w:rPr>
        <w:t xml:space="preserve"> e INE S. Tomé e Príncipe.</w:t>
      </w:r>
    </w:p>
    <w:p w:rsidR="00DE43CF" w:rsidRDefault="00DE43CF"/>
    <w:p w:rsidR="002513E3" w:rsidRDefault="002513E3"/>
    <w:p w:rsidR="002513E3" w:rsidRDefault="002513E3" w:rsidP="002513E3">
      <w:r>
        <w:t>Armindo do Espírito Santo (Economista não acidental) – Investigador do CESA-ISEG/UL</w:t>
      </w:r>
    </w:p>
    <w:p w:rsidR="002513E3" w:rsidRDefault="002513E3"/>
    <w:p w:rsidR="003F4D2D" w:rsidRPr="003F4D2D" w:rsidRDefault="003F4D2D" w:rsidP="003F4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quem se interessar, ver estudo integral em: </w:t>
      </w:r>
    </w:p>
    <w:p w:rsidR="00EC0DEB" w:rsidRPr="00EC0DEB" w:rsidRDefault="00D812FF" w:rsidP="00EC0DEB">
      <w:pPr>
        <w:spacing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pt-PT"/>
        </w:rPr>
      </w:pPr>
      <w:hyperlink r:id="rId15" w:tgtFrame="_blank" w:history="1">
        <w:r w:rsidR="00EC0DEB" w:rsidRPr="00EC0DEB">
          <w:rPr>
            <w:rFonts w:ascii="Helvetica" w:eastAsia="Times New Roman" w:hAnsi="Helvetica" w:cs="Helvetica"/>
            <w:color w:val="1155CC"/>
            <w:sz w:val="20"/>
            <w:u w:val="single"/>
            <w:lang w:eastAsia="pt-PT"/>
          </w:rPr>
          <w:t>http://www.cofecon.org.br/noticias/artigos/16-artigo/3181-emigracao-e-os-pequenos-estados-insulares-em-vias-de-desenvolvimento.html</w:t>
        </w:r>
      </w:hyperlink>
    </w:p>
    <w:p w:rsidR="00EC0DEB" w:rsidRDefault="00EC0DEB"/>
    <w:sectPr w:rsidR="00EC0DEB" w:rsidSect="00FC1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E43CF"/>
    <w:rsid w:val="002513E3"/>
    <w:rsid w:val="00283845"/>
    <w:rsid w:val="003744E8"/>
    <w:rsid w:val="003F4D2D"/>
    <w:rsid w:val="006168B0"/>
    <w:rsid w:val="00737305"/>
    <w:rsid w:val="007C371D"/>
    <w:rsid w:val="00A74836"/>
    <w:rsid w:val="00AF6733"/>
    <w:rsid w:val="00B57E7C"/>
    <w:rsid w:val="00C45BE7"/>
    <w:rsid w:val="00D812FF"/>
    <w:rsid w:val="00DE43CF"/>
    <w:rsid w:val="00EC0DEB"/>
    <w:rsid w:val="00F820FB"/>
    <w:rsid w:val="00FC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0"/>
        <o:r id="V:Rule11" type="connector" idref="#_x0000_s1032"/>
        <o:r id="V:Rule12" type="connector" idref="#_x0000_s1028"/>
        <o:r id="V:Rule13" type="connector" idref="#_x0000_s1029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E43C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4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43C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EC0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hyperlink" Target="http://www.cofecon.org.br/noticias/artigos/16-artigo/3181-emigracao-e-os-pequenos-estados-insulares-em-vias-de-desenvolvimento.html" TargetMode="Externa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STP%20EMIGRA&#199;&#195;O-EXCELL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J:\STP%20EMIGRA&#199;&#195;O-EXCELL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J:\STP%20EMIGRA&#199;&#195;O-EXCEL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STP%20EMIGRA&#199;&#195;O-EXCE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STP%20EMIGRA&#199;&#195;O-EXCEL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STP%20EMIGRA&#199;&#195;O-EXCELL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J:\STP%20EMIGRA&#199;&#195;O-EXCELL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J:\STP%20EMIGRA&#199;&#195;O-EXCEL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TP%20EMIGRA&#199;&#195;O-EXCEL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TP%20EMIGRA&#199;&#195;O-EXCEL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TP%20EMIGRA&#199;&#195;O-EXCE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/>
          <a:lstStyle/>
          <a:p>
            <a:pPr>
              <a:defRPr/>
            </a:pPr>
            <a:r>
              <a:rPr lang="pt-PT" sz="800" b="1"/>
              <a:t>Cabo Verde: Remessas, IDE e Transferências Oficiais, em Milhões de $USD</a:t>
            </a:r>
            <a:r>
              <a:rPr lang="pt-PT" sz="800"/>
              <a:t> 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2210279923852529"/>
          <c:y val="0.17854140292822479"/>
          <c:w val="0.79996333360493621"/>
          <c:h val="0.7203968157854056"/>
        </c:manualLayout>
      </c:layout>
      <c:scatterChart>
        <c:scatterStyle val="smoothMarker"/>
        <c:ser>
          <c:idx val="0"/>
          <c:order val="0"/>
          <c:tx>
            <c:strRef>
              <c:f>Folha4!$B$1</c:f>
              <c:strCache>
                <c:ptCount val="1"/>
                <c:pt idx="0">
                  <c:v>REMESSAS 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Folha4!$B$2:$B$24</c:f>
            </c:numRef>
          </c:yVal>
          <c:smooth val="1"/>
        </c:ser>
        <c:ser>
          <c:idx val="1"/>
          <c:order val="1"/>
          <c:tx>
            <c:strRef>
              <c:f>Folha4!$C$1</c:f>
              <c:strCache>
                <c:ptCount val="1"/>
                <c:pt idx="0">
                  <c:v>IDE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Folha4!$C$2:$C$24</c:f>
            </c:numRef>
          </c:yVal>
          <c:smooth val="1"/>
        </c:ser>
        <c:ser>
          <c:idx val="2"/>
          <c:order val="2"/>
          <c:tx>
            <c:strRef>
              <c:f>Folha4!$D$1</c:f>
              <c:strCache>
                <c:ptCount val="1"/>
                <c:pt idx="0">
                  <c:v>TRANSF. OFICIAIS 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Folha4!$D$2:$D$24</c:f>
            </c:numRef>
          </c:yVal>
          <c:smooth val="1"/>
        </c:ser>
        <c:ser>
          <c:idx val="3"/>
          <c:order val="3"/>
          <c:tx>
            <c:strRef>
              <c:f>Folha4!$E$1</c:f>
              <c:strCache>
                <c:ptCount val="1"/>
                <c:pt idx="0">
                  <c:v>PIBpc M ECV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Folha4!$E$2:$E$24</c:f>
            </c:numRef>
          </c:yVal>
          <c:smooth val="1"/>
        </c:ser>
        <c:ser>
          <c:idx val="4"/>
          <c:order val="4"/>
          <c:tx>
            <c:strRef>
              <c:f>Folha4!$F$1</c:f>
              <c:strCache>
                <c:ptCount val="1"/>
                <c:pt idx="0">
                  <c:v>Câmbio Esc/$USD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Folha4!$F$2:$F$24</c:f>
            </c:numRef>
          </c:yVal>
          <c:smooth val="1"/>
        </c:ser>
        <c:ser>
          <c:idx val="5"/>
          <c:order val="5"/>
          <c:tx>
            <c:strRef>
              <c:f>Folha4!$G$1</c:f>
              <c:strCache>
                <c:ptCount val="1"/>
                <c:pt idx="0">
                  <c:v>PIBpc M. $USD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Folha4!$G$2:$G$24</c:f>
            </c:numRef>
          </c:yVal>
          <c:smooth val="1"/>
        </c:ser>
        <c:ser>
          <c:idx val="6"/>
          <c:order val="6"/>
          <c:tx>
            <c:strRef>
              <c:f>Folha4!$H$1</c:f>
              <c:strCache>
                <c:ptCount val="1"/>
                <c:pt idx="0">
                  <c:v>PIBpc $USD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Folha4!$H$2:$H$24</c:f>
            </c:numRef>
          </c:yVal>
          <c:smooth val="1"/>
        </c:ser>
        <c:ser>
          <c:idx val="7"/>
          <c:order val="7"/>
          <c:tx>
            <c:strRef>
              <c:f>Folha4!$I$1</c:f>
              <c:strCache>
                <c:ptCount val="1"/>
                <c:pt idx="0">
                  <c:v>Pop. Total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Folha4!$I$2:$I$24</c:f>
            </c:numRef>
          </c:yVal>
          <c:smooth val="1"/>
        </c:ser>
        <c:ser>
          <c:idx val="8"/>
          <c:order val="8"/>
          <c:tx>
            <c:strRef>
              <c:f>Folha4!$J$1</c:f>
              <c:strCache>
                <c:ptCount val="1"/>
                <c:pt idx="0">
                  <c:v>Rem %PIB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Folha4!$J$2:$J$24</c:f>
            </c:numRef>
          </c:yVal>
          <c:smooth val="1"/>
        </c:ser>
        <c:ser>
          <c:idx val="9"/>
          <c:order val="9"/>
          <c:tx>
            <c:strRef>
              <c:f>Folha4!$K$1</c:f>
              <c:strCache>
                <c:ptCount val="1"/>
                <c:pt idx="0">
                  <c:v>IDE % PIB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Folha4!$K$2:$K$24</c:f>
            </c:numRef>
          </c:yVal>
          <c:smooth val="1"/>
        </c:ser>
        <c:ser>
          <c:idx val="10"/>
          <c:order val="10"/>
          <c:tx>
            <c:strRef>
              <c:f>Folha4!$L$1</c:f>
              <c:strCache>
                <c:ptCount val="1"/>
                <c:pt idx="0">
                  <c:v>T. O.% PIB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Folha4!$L$2:$L$24</c:f>
            </c:numRef>
          </c:yVal>
          <c:smooth val="1"/>
        </c:ser>
        <c:ser>
          <c:idx val="11"/>
          <c:order val="11"/>
          <c:tx>
            <c:strRef>
              <c:f>Folha4!$M$1</c:f>
              <c:strCache>
                <c:ptCount val="1"/>
                <c:pt idx="0">
                  <c:v>R+IDE+TO/PIB</c:v>
                </c:pt>
              </c:strCache>
            </c:strRef>
          </c:tx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Folha4!$M$2:$M$24</c:f>
            </c:numRef>
          </c:yVal>
          <c:smooth val="1"/>
        </c:ser>
        <c:ser>
          <c:idx val="12"/>
          <c:order val="12"/>
          <c:tx>
            <c:strRef>
              <c:f>Folha4!$N$1</c:f>
              <c:strCache>
                <c:ptCount val="1"/>
                <c:pt idx="0">
                  <c:v>Rem $USD</c:v>
                </c:pt>
              </c:strCache>
            </c:strRef>
          </c:tx>
          <c:marker>
            <c:symbol val="none"/>
          </c:marker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Folha4!$N$2:$N$24</c:f>
              <c:numCache>
                <c:formatCode>0.0</c:formatCode>
                <c:ptCount val="23"/>
                <c:pt idx="0">
                  <c:v>48.932922559865546</c:v>
                </c:pt>
                <c:pt idx="1">
                  <c:v>55.77624228168186</c:v>
                </c:pt>
                <c:pt idx="2">
                  <c:v>57.468606241452186</c:v>
                </c:pt>
                <c:pt idx="3">
                  <c:v>63.710622710622701</c:v>
                </c:pt>
                <c:pt idx="4">
                  <c:v>76.076772934285415</c:v>
                </c:pt>
                <c:pt idx="5">
                  <c:v>74.179682770311118</c:v>
                </c:pt>
                <c:pt idx="6">
                  <c:v>60.309046034982295</c:v>
                </c:pt>
                <c:pt idx="7">
                  <c:v>73.078885600570658</c:v>
                </c:pt>
                <c:pt idx="8">
                  <c:v>72.576436222004446</c:v>
                </c:pt>
                <c:pt idx="9">
                  <c:v>66.737141870900928</c:v>
                </c:pt>
                <c:pt idx="10">
                  <c:v>79.75002029056084</c:v>
                </c:pt>
                <c:pt idx="11">
                  <c:v>84.530104042299172</c:v>
                </c:pt>
                <c:pt idx="12">
                  <c:v>97.280163599182927</c:v>
                </c:pt>
                <c:pt idx="13">
                  <c:v>98.613928329952671</c:v>
                </c:pt>
                <c:pt idx="14">
                  <c:v>124.10603496897912</c:v>
                </c:pt>
                <c:pt idx="15">
                  <c:v>123.81439781644291</c:v>
                </c:pt>
                <c:pt idx="16">
                  <c:v>126.01091540560662</c:v>
                </c:pt>
                <c:pt idx="17">
                  <c:v>138.35943721794797</c:v>
                </c:pt>
                <c:pt idx="18">
                  <c:v>128.94935752078598</c:v>
                </c:pt>
                <c:pt idx="19">
                  <c:v>124.13544668587896</c:v>
                </c:pt>
                <c:pt idx="20">
                  <c:v>175.08829465186679</c:v>
                </c:pt>
                <c:pt idx="21">
                  <c:v>168.28984156570363</c:v>
                </c:pt>
                <c:pt idx="22">
                  <c:v>165.66750932948116</c:v>
                </c:pt>
              </c:numCache>
            </c:numRef>
          </c:yVal>
          <c:smooth val="1"/>
        </c:ser>
        <c:ser>
          <c:idx val="13"/>
          <c:order val="13"/>
          <c:tx>
            <c:strRef>
              <c:f>Folha4!$O$1</c:f>
              <c:strCache>
                <c:ptCount val="1"/>
                <c:pt idx="0">
                  <c:v>IDE $USD</c:v>
                </c:pt>
              </c:strCache>
            </c:strRef>
          </c:tx>
          <c:marker>
            <c:symbol val="none"/>
          </c:marker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Folha4!$O$2:$O$24</c:f>
              <c:numCache>
                <c:formatCode>0.0</c:formatCode>
                <c:ptCount val="23"/>
                <c:pt idx="0">
                  <c:v>1.743453297857422</c:v>
                </c:pt>
                <c:pt idx="1">
                  <c:v>0.44986768597472332</c:v>
                </c:pt>
                <c:pt idx="2">
                  <c:v>3.6441626258858633</c:v>
                </c:pt>
                <c:pt idx="3">
                  <c:v>2.1282051282051277</c:v>
                </c:pt>
                <c:pt idx="4">
                  <c:v>26.182173064411192</c:v>
                </c:pt>
                <c:pt idx="5">
                  <c:v>28.52887758808572</c:v>
                </c:pt>
                <c:pt idx="6">
                  <c:v>11.575276317201476</c:v>
                </c:pt>
                <c:pt idx="7">
                  <c:v>8.7753852433921811</c:v>
                </c:pt>
                <c:pt idx="8">
                  <c:v>61.606621226874388</c:v>
                </c:pt>
                <c:pt idx="9">
                  <c:v>43.444943044528863</c:v>
                </c:pt>
                <c:pt idx="10">
                  <c:v>12.683223764304698</c:v>
                </c:pt>
                <c:pt idx="11">
                  <c:v>38.522940474160009</c:v>
                </c:pt>
                <c:pt idx="12">
                  <c:v>33.501022494887494</c:v>
                </c:pt>
                <c:pt idx="13">
                  <c:v>68.039215686276108</c:v>
                </c:pt>
                <c:pt idx="14">
                  <c:v>81.572476029328158</c:v>
                </c:pt>
                <c:pt idx="15">
                  <c:v>130.60502672580458</c:v>
                </c:pt>
                <c:pt idx="16">
                  <c:v>189.90076903994012</c:v>
                </c:pt>
                <c:pt idx="17">
                  <c:v>208.93416511813115</c:v>
                </c:pt>
                <c:pt idx="18">
                  <c:v>119.58175862937873</c:v>
                </c:pt>
                <c:pt idx="19">
                  <c:v>111.57660902977906</c:v>
                </c:pt>
                <c:pt idx="20">
                  <c:v>104.84359233097881</c:v>
                </c:pt>
                <c:pt idx="21">
                  <c:v>56.29077353215358</c:v>
                </c:pt>
                <c:pt idx="22">
                  <c:v>36.318767304682794</c:v>
                </c:pt>
              </c:numCache>
            </c:numRef>
          </c:yVal>
          <c:smooth val="1"/>
        </c:ser>
        <c:ser>
          <c:idx val="14"/>
          <c:order val="14"/>
          <c:tx>
            <c:strRef>
              <c:f>Folha4!$P$1</c:f>
              <c:strCache>
                <c:ptCount val="1"/>
                <c:pt idx="0">
                  <c:v>TO $USD</c:v>
                </c:pt>
              </c:strCache>
            </c:strRef>
          </c:tx>
          <c:marker>
            <c:symbol val="none"/>
          </c:marker>
          <c:xVal>
            <c:numRef>
              <c:f>Folha4!$A$2:$A$24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Folha4!$P$2:$P$24</c:f>
              <c:numCache>
                <c:formatCode>0.0</c:formatCode>
                <c:ptCount val="23"/>
                <c:pt idx="0">
                  <c:v>35.277972272790933</c:v>
                </c:pt>
                <c:pt idx="1">
                  <c:v>59.842693325491993</c:v>
                </c:pt>
                <c:pt idx="2">
                  <c:v>36.59579758796469</c:v>
                </c:pt>
                <c:pt idx="3">
                  <c:v>42.449328449328448</c:v>
                </c:pt>
                <c:pt idx="4">
                  <c:v>52.016916070266745</c:v>
                </c:pt>
                <c:pt idx="5">
                  <c:v>49.641603099647924</c:v>
                </c:pt>
                <c:pt idx="6">
                  <c:v>55.662624745144328</c:v>
                </c:pt>
                <c:pt idx="7">
                  <c:v>54.71068476375067</c:v>
                </c:pt>
                <c:pt idx="8">
                  <c:v>48.962025316456113</c:v>
                </c:pt>
                <c:pt idx="9">
                  <c:v>22.554366586123489</c:v>
                </c:pt>
                <c:pt idx="10">
                  <c:v>20.296242188133611</c:v>
                </c:pt>
                <c:pt idx="11">
                  <c:v>35.467337540508268</c:v>
                </c:pt>
                <c:pt idx="12">
                  <c:v>48.836400817995909</c:v>
                </c:pt>
                <c:pt idx="13">
                  <c:v>52.927653820148763</c:v>
                </c:pt>
                <c:pt idx="14">
                  <c:v>48.200789622109419</c:v>
                </c:pt>
                <c:pt idx="15">
                  <c:v>47.583304901625993</c:v>
                </c:pt>
                <c:pt idx="16">
                  <c:v>67.653187794590096</c:v>
                </c:pt>
                <c:pt idx="17">
                  <c:v>104.04831430846828</c:v>
                </c:pt>
                <c:pt idx="18">
                  <c:v>87.97052154195012</c:v>
                </c:pt>
                <c:pt idx="19">
                  <c:v>105.53794428434398</c:v>
                </c:pt>
                <c:pt idx="20">
                  <c:v>69.815842583249179</c:v>
                </c:pt>
                <c:pt idx="21">
                  <c:v>59.226467847157501</c:v>
                </c:pt>
                <c:pt idx="22">
                  <c:v>57.734440833032345</c:v>
                </c:pt>
              </c:numCache>
            </c:numRef>
          </c:yVal>
          <c:smooth val="1"/>
        </c:ser>
        <c:axId val="110099456"/>
        <c:axId val="110179072"/>
      </c:scatterChart>
      <c:valAx>
        <c:axId val="110099456"/>
        <c:scaling>
          <c:orientation val="minMax"/>
        </c:scaling>
        <c:axPos val="b"/>
        <c:numFmt formatCode="General" sourceLinked="1"/>
        <c:tickLblPos val="nextTo"/>
        <c:crossAx val="110179072"/>
        <c:crosses val="autoZero"/>
        <c:crossBetween val="midCat"/>
      </c:valAx>
      <c:valAx>
        <c:axId val="110179072"/>
        <c:scaling>
          <c:orientation val="minMax"/>
        </c:scaling>
        <c:axPos val="l"/>
        <c:majorGridlines/>
        <c:numFmt formatCode="0.0" sourceLinked="1"/>
        <c:tickLblPos val="nextTo"/>
        <c:crossAx val="110099456"/>
        <c:crosses val="autoZero"/>
        <c:crossBetween val="midCat"/>
      </c:valAx>
    </c:plotArea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>
        <c:manualLayout>
          <c:layoutTarget val="inner"/>
          <c:xMode val="edge"/>
          <c:yMode val="edge"/>
          <c:x val="8.6976022399835248E-2"/>
          <c:y val="0.1880896391629297"/>
          <c:w val="0.69896929550472864"/>
          <c:h val="0.73349780132854292"/>
        </c:manualLayout>
      </c:layout>
      <c:scatterChart>
        <c:scatterStyle val="smoothMarker"/>
        <c:ser>
          <c:idx val="0"/>
          <c:order val="0"/>
          <c:tx>
            <c:strRef>
              <c:f>Folha14!$B$31</c:f>
              <c:strCache>
                <c:ptCount val="1"/>
                <c:pt idx="0">
                  <c:v>Remessas</c:v>
                </c:pt>
              </c:strCache>
            </c:strRef>
          </c:tx>
          <c:marker>
            <c:symbol val="none"/>
          </c:marker>
          <c:xVal>
            <c:numRef>
              <c:f>Folha14!$A$32:$A$54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Folha14!$B$32:$B$54</c:f>
              <c:numCache>
                <c:formatCode>General</c:formatCode>
                <c:ptCount val="23"/>
                <c:pt idx="0">
                  <c:v>0.60000000000000064</c:v>
                </c:pt>
                <c:pt idx="1">
                  <c:v>1.1000000000000001</c:v>
                </c:pt>
                <c:pt idx="2">
                  <c:v>1.5</c:v>
                </c:pt>
                <c:pt idx="3">
                  <c:v>3.4</c:v>
                </c:pt>
                <c:pt idx="4">
                  <c:v>0.60000000000000064</c:v>
                </c:pt>
                <c:pt idx="5">
                  <c:v>0.5</c:v>
                </c:pt>
                <c:pt idx="6">
                  <c:v>0.8</c:v>
                </c:pt>
                <c:pt idx="7">
                  <c:v>0.5</c:v>
                </c:pt>
                <c:pt idx="8">
                  <c:v>0.60000000000000064</c:v>
                </c:pt>
                <c:pt idx="9">
                  <c:v>0.5</c:v>
                </c:pt>
                <c:pt idx="10">
                  <c:v>0.60000000000000064</c:v>
                </c:pt>
                <c:pt idx="11">
                  <c:v>0.8</c:v>
                </c:pt>
                <c:pt idx="12">
                  <c:v>1.8</c:v>
                </c:pt>
                <c:pt idx="13">
                  <c:v>2.1</c:v>
                </c:pt>
                <c:pt idx="14">
                  <c:v>1.5</c:v>
                </c:pt>
                <c:pt idx="15">
                  <c:v>1.6</c:v>
                </c:pt>
                <c:pt idx="16">
                  <c:v>2</c:v>
                </c:pt>
                <c:pt idx="17">
                  <c:v>3</c:v>
                </c:pt>
                <c:pt idx="18">
                  <c:v>2</c:v>
                </c:pt>
                <c:pt idx="19">
                  <c:v>6.4</c:v>
                </c:pt>
                <c:pt idx="20">
                  <c:v>6.9</c:v>
                </c:pt>
                <c:pt idx="21">
                  <c:v>6.4</c:v>
                </c:pt>
                <c:pt idx="22">
                  <c:v>23.1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Folha14!$C$31</c:f>
              <c:strCache>
                <c:ptCount val="1"/>
                <c:pt idx="0">
                  <c:v>PIBpc</c:v>
                </c:pt>
              </c:strCache>
            </c:strRef>
          </c:tx>
          <c:marker>
            <c:symbol val="none"/>
          </c:marker>
          <c:xVal>
            <c:numRef>
              <c:f>Folha14!$A$32:$A$54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Folha14!$C$32:$C$54</c:f>
              <c:numCache>
                <c:formatCode>General</c:formatCode>
                <c:ptCount val="23"/>
                <c:pt idx="0">
                  <c:v>53.6</c:v>
                </c:pt>
                <c:pt idx="1">
                  <c:v>43.2</c:v>
                </c:pt>
                <c:pt idx="2">
                  <c:v>45</c:v>
                </c:pt>
                <c:pt idx="3">
                  <c:v>89.3</c:v>
                </c:pt>
                <c:pt idx="4">
                  <c:v>45.5</c:v>
                </c:pt>
                <c:pt idx="5">
                  <c:v>44.9</c:v>
                </c:pt>
                <c:pt idx="6">
                  <c:v>43.9</c:v>
                </c:pt>
                <c:pt idx="7">
                  <c:v>55.2</c:v>
                </c:pt>
                <c:pt idx="8">
                  <c:v>47.1</c:v>
                </c:pt>
                <c:pt idx="9">
                  <c:v>46.3</c:v>
                </c:pt>
                <c:pt idx="10">
                  <c:v>47.7</c:v>
                </c:pt>
                <c:pt idx="11">
                  <c:v>92.2</c:v>
                </c:pt>
                <c:pt idx="12">
                  <c:v>94.4</c:v>
                </c:pt>
                <c:pt idx="13">
                  <c:v>108.5</c:v>
                </c:pt>
                <c:pt idx="14">
                  <c:v>115</c:v>
                </c:pt>
                <c:pt idx="15">
                  <c:v>135.80000000000001</c:v>
                </c:pt>
                <c:pt idx="16">
                  <c:v>147.19999999999999</c:v>
                </c:pt>
                <c:pt idx="17">
                  <c:v>181.5</c:v>
                </c:pt>
                <c:pt idx="18">
                  <c:v>196.5</c:v>
                </c:pt>
                <c:pt idx="19">
                  <c:v>200.2</c:v>
                </c:pt>
                <c:pt idx="20">
                  <c:v>246.5</c:v>
                </c:pt>
                <c:pt idx="21">
                  <c:v>261.39999999999969</c:v>
                </c:pt>
                <c:pt idx="22">
                  <c:v>307.89999999999969</c:v>
                </c:pt>
              </c:numCache>
            </c:numRef>
          </c:yVal>
          <c:smooth val="1"/>
        </c:ser>
        <c:axId val="110950656"/>
        <c:axId val="111288320"/>
      </c:scatterChart>
      <c:valAx>
        <c:axId val="110950656"/>
        <c:scaling>
          <c:orientation val="minMax"/>
        </c:scaling>
        <c:axPos val="b"/>
        <c:numFmt formatCode="General" sourceLinked="1"/>
        <c:tickLblPos val="nextTo"/>
        <c:crossAx val="111288320"/>
        <c:crosses val="autoZero"/>
        <c:crossBetween val="midCat"/>
      </c:valAx>
      <c:valAx>
        <c:axId val="111288320"/>
        <c:scaling>
          <c:orientation val="minMax"/>
        </c:scaling>
        <c:axPos val="l"/>
        <c:majorGridlines/>
        <c:numFmt formatCode="General" sourceLinked="1"/>
        <c:tickLblPos val="nextTo"/>
        <c:crossAx val="110950656"/>
        <c:crosses val="autoZero"/>
        <c:crossBetween val="midCat"/>
      </c:valAx>
    </c:plotArea>
    <c:plotVisOnly val="1"/>
    <c:dispBlanksAs val="gap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>
        <c:manualLayout>
          <c:layoutTarget val="inner"/>
          <c:xMode val="edge"/>
          <c:yMode val="edge"/>
          <c:x val="6.7300215864217194E-2"/>
          <c:y val="0.19699842008559657"/>
          <c:w val="0.60239348206474264"/>
          <c:h val="0.69373067949840816"/>
        </c:manualLayout>
      </c:layout>
      <c:scatterChart>
        <c:scatterStyle val="smoothMarker"/>
        <c:ser>
          <c:idx val="0"/>
          <c:order val="0"/>
          <c:tx>
            <c:strRef>
              <c:f>Folha15!$B$4</c:f>
              <c:strCache>
                <c:ptCount val="1"/>
                <c:pt idx="0">
                  <c:v>STP Rem % PIB</c:v>
                </c:pt>
              </c:strCache>
            </c:strRef>
          </c:tx>
          <c:marker>
            <c:symbol val="none"/>
          </c:marker>
          <c:xVal>
            <c:numRef>
              <c:f>Folha15!$A$5:$A$27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Folha15!$B$5:$B$27</c:f>
              <c:numCache>
                <c:formatCode>0.0</c:formatCode>
                <c:ptCount val="23"/>
                <c:pt idx="0" formatCode="General">
                  <c:v>1.1000000000000001</c:v>
                </c:pt>
                <c:pt idx="1">
                  <c:v>2.5</c:v>
                </c:pt>
                <c:pt idx="2">
                  <c:v>3.3</c:v>
                </c:pt>
                <c:pt idx="3">
                  <c:v>3.8</c:v>
                </c:pt>
                <c:pt idx="4">
                  <c:v>1.3</c:v>
                </c:pt>
                <c:pt idx="5">
                  <c:v>1.1000000000000001</c:v>
                </c:pt>
                <c:pt idx="6">
                  <c:v>1.8</c:v>
                </c:pt>
                <c:pt idx="7">
                  <c:v>0.9</c:v>
                </c:pt>
                <c:pt idx="8">
                  <c:v>1.3</c:v>
                </c:pt>
                <c:pt idx="9">
                  <c:v>1.1000000000000001</c:v>
                </c:pt>
                <c:pt idx="10">
                  <c:v>1.3</c:v>
                </c:pt>
                <c:pt idx="11">
                  <c:v>0.9</c:v>
                </c:pt>
                <c:pt idx="12">
                  <c:v>1.9000000000000001</c:v>
                </c:pt>
                <c:pt idx="13">
                  <c:v>1.9000000000000001</c:v>
                </c:pt>
                <c:pt idx="14">
                  <c:v>1.3</c:v>
                </c:pt>
                <c:pt idx="15">
                  <c:v>1.2</c:v>
                </c:pt>
                <c:pt idx="16">
                  <c:v>1.4</c:v>
                </c:pt>
                <c:pt idx="17">
                  <c:v>1.7</c:v>
                </c:pt>
                <c:pt idx="18">
                  <c:v>1</c:v>
                </c:pt>
                <c:pt idx="19">
                  <c:v>3.2</c:v>
                </c:pt>
                <c:pt idx="20">
                  <c:v>2.8</c:v>
                </c:pt>
                <c:pt idx="21">
                  <c:v>2.4</c:v>
                </c:pt>
                <c:pt idx="22">
                  <c:v>7.5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Folha15!$C$4</c:f>
              <c:strCache>
                <c:ptCount val="1"/>
                <c:pt idx="0">
                  <c:v>CV Rem % PIB</c:v>
                </c:pt>
              </c:strCache>
            </c:strRef>
          </c:tx>
          <c:marker>
            <c:symbol val="none"/>
          </c:marker>
          <c:xVal>
            <c:numRef>
              <c:f>Folha15!$A$5:$A$27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Folha15!$C$5:$C$27</c:f>
              <c:numCache>
                <c:formatCode>0.0</c:formatCode>
                <c:ptCount val="23"/>
                <c:pt idx="0">
                  <c:v>15.2</c:v>
                </c:pt>
                <c:pt idx="1">
                  <c:v>15.6</c:v>
                </c:pt>
                <c:pt idx="2">
                  <c:v>15.9</c:v>
                </c:pt>
                <c:pt idx="3">
                  <c:v>15.6</c:v>
                </c:pt>
                <c:pt idx="4">
                  <c:v>15.5</c:v>
                </c:pt>
                <c:pt idx="5">
                  <c:v>14.7</c:v>
                </c:pt>
                <c:pt idx="6">
                  <c:v>12.2</c:v>
                </c:pt>
                <c:pt idx="7">
                  <c:v>13.9</c:v>
                </c:pt>
                <c:pt idx="8">
                  <c:v>12.1</c:v>
                </c:pt>
                <c:pt idx="9">
                  <c:v>12</c:v>
                </c:pt>
                <c:pt idx="10">
                  <c:v>14.2</c:v>
                </c:pt>
                <c:pt idx="11">
                  <c:v>13.6</c:v>
                </c:pt>
                <c:pt idx="12">
                  <c:v>12</c:v>
                </c:pt>
                <c:pt idx="13">
                  <c:v>10.7</c:v>
                </c:pt>
                <c:pt idx="14">
                  <c:v>12.8</c:v>
                </c:pt>
                <c:pt idx="15">
                  <c:v>11.2</c:v>
                </c:pt>
                <c:pt idx="16">
                  <c:v>8.3000000000000007</c:v>
                </c:pt>
                <c:pt idx="17">
                  <c:v>7.7</c:v>
                </c:pt>
                <c:pt idx="18">
                  <c:v>7.5</c:v>
                </c:pt>
                <c:pt idx="19">
                  <c:v>7.5</c:v>
                </c:pt>
                <c:pt idx="20">
                  <c:v>9.4</c:v>
                </c:pt>
                <c:pt idx="21">
                  <c:v>9.6</c:v>
                </c:pt>
                <c:pt idx="22">
                  <c:v>8.9</c:v>
                </c:pt>
              </c:numCache>
            </c:numRef>
          </c:yVal>
          <c:smooth val="1"/>
        </c:ser>
        <c:axId val="111295872"/>
        <c:axId val="111314048"/>
      </c:scatterChart>
      <c:valAx>
        <c:axId val="111295872"/>
        <c:scaling>
          <c:orientation val="minMax"/>
        </c:scaling>
        <c:axPos val="b"/>
        <c:numFmt formatCode="General" sourceLinked="1"/>
        <c:tickLblPos val="nextTo"/>
        <c:crossAx val="111314048"/>
        <c:crosses val="autoZero"/>
        <c:crossBetween val="midCat"/>
      </c:valAx>
      <c:valAx>
        <c:axId val="111314048"/>
        <c:scaling>
          <c:orientation val="minMax"/>
        </c:scaling>
        <c:axPos val="l"/>
        <c:majorGridlines/>
        <c:numFmt formatCode="General" sourceLinked="1"/>
        <c:tickLblPos val="nextTo"/>
        <c:crossAx val="111295872"/>
        <c:crosses val="autoZero"/>
        <c:crossBetween val="midCat"/>
      </c:valAx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/>
          <a:lstStyle/>
          <a:p>
            <a:pPr algn="ctr">
              <a:defRPr/>
            </a:pPr>
            <a:r>
              <a:rPr lang="pt-PT" sz="800">
                <a:latin typeface="Times New Roman" pitchFamily="18" charset="0"/>
                <a:cs typeface="Times New Roman" pitchFamily="18" charset="0"/>
              </a:rPr>
              <a:t>Cabo Verde: Remessas em percentagem do PIB</a:t>
            </a:r>
          </a:p>
        </c:rich>
      </c:tx>
      <c:layout>
        <c:manualLayout>
          <c:xMode val="edge"/>
          <c:yMode val="edge"/>
          <c:x val="0.29935315293961245"/>
          <c:y val="3.0392933796737243E-2"/>
        </c:manualLayout>
      </c:layout>
    </c:title>
    <c:plotArea>
      <c:layout/>
      <c:scatterChart>
        <c:scatterStyle val="smoothMarker"/>
        <c:ser>
          <c:idx val="0"/>
          <c:order val="0"/>
          <c:tx>
            <c:strRef>
              <c:f>Folha7!$B$1</c:f>
              <c:strCache>
                <c:ptCount val="1"/>
                <c:pt idx="0">
                  <c:v>REMESSAS </c:v>
                </c:pt>
              </c:strCache>
            </c:strRef>
          </c:tx>
          <c:xVal>
            <c:numRef>
              <c:f>Folha7!$A$2:$A$24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Folha7!$B$2:$B$24</c:f>
            </c:numRef>
          </c:yVal>
          <c:smooth val="1"/>
        </c:ser>
        <c:ser>
          <c:idx val="1"/>
          <c:order val="1"/>
          <c:tx>
            <c:strRef>
              <c:f>Folha7!$C$1</c:f>
              <c:strCache>
                <c:ptCount val="1"/>
                <c:pt idx="0">
                  <c:v>IDE</c:v>
                </c:pt>
              </c:strCache>
            </c:strRef>
          </c:tx>
          <c:xVal>
            <c:numRef>
              <c:f>Folha7!$A$2:$A$24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Folha7!$C$2:$C$24</c:f>
            </c:numRef>
          </c:yVal>
          <c:smooth val="1"/>
        </c:ser>
        <c:ser>
          <c:idx val="2"/>
          <c:order val="2"/>
          <c:tx>
            <c:strRef>
              <c:f>Folha7!$D$1</c:f>
              <c:strCache>
                <c:ptCount val="1"/>
                <c:pt idx="0">
                  <c:v>TRANSF. OFICIAIS </c:v>
                </c:pt>
              </c:strCache>
            </c:strRef>
          </c:tx>
          <c:xVal>
            <c:numRef>
              <c:f>Folha7!$A$2:$A$24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Folha7!$D$2:$D$24</c:f>
            </c:numRef>
          </c:yVal>
          <c:smooth val="1"/>
        </c:ser>
        <c:ser>
          <c:idx val="3"/>
          <c:order val="3"/>
          <c:tx>
            <c:strRef>
              <c:f>Folha7!$E$1</c:f>
              <c:strCache>
                <c:ptCount val="1"/>
                <c:pt idx="0">
                  <c:v>PIBpc M ECV</c:v>
                </c:pt>
              </c:strCache>
            </c:strRef>
          </c:tx>
          <c:xVal>
            <c:numRef>
              <c:f>Folha7!$A$2:$A$24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Folha7!$E$2:$E$24</c:f>
            </c:numRef>
          </c:yVal>
          <c:smooth val="1"/>
        </c:ser>
        <c:ser>
          <c:idx val="4"/>
          <c:order val="4"/>
          <c:tx>
            <c:strRef>
              <c:f>Folha7!$F$1</c:f>
              <c:strCache>
                <c:ptCount val="1"/>
                <c:pt idx="0">
                  <c:v>Câmbio Esc/$USD</c:v>
                </c:pt>
              </c:strCache>
            </c:strRef>
          </c:tx>
          <c:xVal>
            <c:numRef>
              <c:f>Folha7!$A$2:$A$24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Folha7!$F$2:$F$24</c:f>
            </c:numRef>
          </c:yVal>
          <c:smooth val="1"/>
        </c:ser>
        <c:ser>
          <c:idx val="5"/>
          <c:order val="5"/>
          <c:tx>
            <c:strRef>
              <c:f>Folha7!$G$1</c:f>
              <c:strCache>
                <c:ptCount val="1"/>
                <c:pt idx="0">
                  <c:v>PIBpc M. $USD</c:v>
                </c:pt>
              </c:strCache>
            </c:strRef>
          </c:tx>
          <c:xVal>
            <c:numRef>
              <c:f>Folha7!$A$2:$A$24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Folha7!$G$2:$G$24</c:f>
            </c:numRef>
          </c:yVal>
          <c:smooth val="1"/>
        </c:ser>
        <c:ser>
          <c:idx val="6"/>
          <c:order val="6"/>
          <c:tx>
            <c:strRef>
              <c:f>Folha7!$H$1</c:f>
              <c:strCache>
                <c:ptCount val="1"/>
                <c:pt idx="0">
                  <c:v>PIBpc $USD</c:v>
                </c:pt>
              </c:strCache>
            </c:strRef>
          </c:tx>
          <c:xVal>
            <c:numRef>
              <c:f>Folha7!$A$2:$A$24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Folha7!$H$2:$H$24</c:f>
            </c:numRef>
          </c:yVal>
          <c:smooth val="1"/>
        </c:ser>
        <c:ser>
          <c:idx val="7"/>
          <c:order val="7"/>
          <c:tx>
            <c:strRef>
              <c:f>Folha7!$I$1</c:f>
              <c:strCache>
                <c:ptCount val="1"/>
                <c:pt idx="0">
                  <c:v>Pop. Total</c:v>
                </c:pt>
              </c:strCache>
            </c:strRef>
          </c:tx>
          <c:xVal>
            <c:numRef>
              <c:f>Folha7!$A$2:$A$24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Folha7!$I$2:$I$24</c:f>
            </c:numRef>
          </c:yVal>
          <c:smooth val="1"/>
        </c:ser>
        <c:ser>
          <c:idx val="8"/>
          <c:order val="8"/>
          <c:tx>
            <c:strRef>
              <c:f>Folha7!$J$1</c:f>
              <c:strCache>
                <c:ptCount val="1"/>
                <c:pt idx="0">
                  <c:v>Rem %PIB</c:v>
                </c:pt>
              </c:strCache>
            </c:strRef>
          </c:tx>
          <c:marker>
            <c:symbol val="none"/>
          </c:marker>
          <c:xVal>
            <c:numRef>
              <c:f>Folha7!$A$2:$A$24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Folha7!$J$2:$J$24</c:f>
              <c:numCache>
                <c:formatCode>0.0</c:formatCode>
                <c:ptCount val="23"/>
                <c:pt idx="0">
                  <c:v>15.238988225032648</c:v>
                </c:pt>
                <c:pt idx="1">
                  <c:v>15.561206702077468</c:v>
                </c:pt>
                <c:pt idx="2">
                  <c:v>15.895756958821742</c:v>
                </c:pt>
                <c:pt idx="3">
                  <c:v>15.577169366900417</c:v>
                </c:pt>
                <c:pt idx="4">
                  <c:v>15.505859949980326</c:v>
                </c:pt>
                <c:pt idx="5">
                  <c:v>14.692727381737511</c:v>
                </c:pt>
                <c:pt idx="6">
                  <c:v>12.226251569016018</c:v>
                </c:pt>
                <c:pt idx="7">
                  <c:v>13.878122141428548</c:v>
                </c:pt>
                <c:pt idx="8">
                  <c:v>12.065956764842054</c:v>
                </c:pt>
                <c:pt idx="9">
                  <c:v>11.982751407684704</c:v>
                </c:pt>
                <c:pt idx="10">
                  <c:v>14.162521637986575</c:v>
                </c:pt>
                <c:pt idx="11">
                  <c:v>13.623225455309999</c:v>
                </c:pt>
                <c:pt idx="12">
                  <c:v>11.963277741940749</c:v>
                </c:pt>
                <c:pt idx="13">
                  <c:v>10.660705475321764</c:v>
                </c:pt>
                <c:pt idx="14">
                  <c:v>12.765503205879424</c:v>
                </c:pt>
                <c:pt idx="15">
                  <c:v>11.179420091329026</c:v>
                </c:pt>
                <c:pt idx="16">
                  <c:v>8.3288241756439891</c:v>
                </c:pt>
                <c:pt idx="17">
                  <c:v>7.7387934490489831</c:v>
                </c:pt>
                <c:pt idx="18">
                  <c:v>7.5331728964740714</c:v>
                </c:pt>
                <c:pt idx="19">
                  <c:v>7.4605431229207113</c:v>
                </c:pt>
                <c:pt idx="20">
                  <c:v>9.3838727995457205</c:v>
                </c:pt>
                <c:pt idx="21">
                  <c:v>9.5844059340251064</c:v>
                </c:pt>
                <c:pt idx="22">
                  <c:v>8.8581929595324524</c:v>
                </c:pt>
              </c:numCache>
            </c:numRef>
          </c:yVal>
          <c:smooth val="1"/>
        </c:ser>
        <c:axId val="110210048"/>
        <c:axId val="110232320"/>
      </c:scatterChart>
      <c:valAx>
        <c:axId val="110210048"/>
        <c:scaling>
          <c:orientation val="minMax"/>
        </c:scaling>
        <c:axPos val="b"/>
        <c:numFmt formatCode="General" sourceLinked="1"/>
        <c:tickLblPos val="nextTo"/>
        <c:crossAx val="110232320"/>
        <c:crosses val="autoZero"/>
        <c:crossBetween val="midCat"/>
      </c:valAx>
      <c:valAx>
        <c:axId val="110232320"/>
        <c:scaling>
          <c:orientation val="minMax"/>
        </c:scaling>
        <c:axPos val="l"/>
        <c:majorGridlines/>
        <c:numFmt formatCode="0.0" sourceLinked="1"/>
        <c:tickLblPos val="nextTo"/>
        <c:crossAx val="110210048"/>
        <c:crosses val="autoZero"/>
        <c:crossBetween val="midCat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/>
          <a:lstStyle/>
          <a:p>
            <a:pPr>
              <a:defRPr/>
            </a:pPr>
            <a:r>
              <a:rPr lang="pt-PT" sz="800">
                <a:latin typeface="Times New Roman" pitchFamily="18" charset="0"/>
                <a:cs typeface="Times New Roman" pitchFamily="18" charset="0"/>
              </a:rPr>
              <a:t>Cabo Verde: IDE em percentagem do PIB</a:t>
            </a:r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Folha8!$B$1</c:f>
              <c:strCache>
                <c:ptCount val="1"/>
                <c:pt idx="0">
                  <c:v>REMESSAS </c:v>
                </c:pt>
              </c:strCache>
            </c:strRef>
          </c:tx>
          <c:xVal>
            <c:numRef>
              <c:f>Folha8!$A$2:$A$24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Folha8!$B$2:$B$24</c:f>
            </c:numRef>
          </c:yVal>
          <c:smooth val="1"/>
        </c:ser>
        <c:ser>
          <c:idx val="1"/>
          <c:order val="1"/>
          <c:tx>
            <c:strRef>
              <c:f>Folha8!$C$1</c:f>
              <c:strCache>
                <c:ptCount val="1"/>
                <c:pt idx="0">
                  <c:v>IDE</c:v>
                </c:pt>
              </c:strCache>
            </c:strRef>
          </c:tx>
          <c:xVal>
            <c:numRef>
              <c:f>Folha8!$A$2:$A$24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Folha8!$C$2:$C$24</c:f>
            </c:numRef>
          </c:yVal>
          <c:smooth val="1"/>
        </c:ser>
        <c:ser>
          <c:idx val="2"/>
          <c:order val="2"/>
          <c:tx>
            <c:strRef>
              <c:f>Folha8!$D$1</c:f>
              <c:strCache>
                <c:ptCount val="1"/>
                <c:pt idx="0">
                  <c:v>TRANSF. OFICIAIS </c:v>
                </c:pt>
              </c:strCache>
            </c:strRef>
          </c:tx>
          <c:xVal>
            <c:numRef>
              <c:f>Folha8!$A$2:$A$24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Folha8!$D$2:$D$24</c:f>
            </c:numRef>
          </c:yVal>
          <c:smooth val="1"/>
        </c:ser>
        <c:ser>
          <c:idx val="3"/>
          <c:order val="3"/>
          <c:tx>
            <c:strRef>
              <c:f>Folha8!$E$1</c:f>
              <c:strCache>
                <c:ptCount val="1"/>
                <c:pt idx="0">
                  <c:v>PIBpc M ECV</c:v>
                </c:pt>
              </c:strCache>
            </c:strRef>
          </c:tx>
          <c:xVal>
            <c:numRef>
              <c:f>Folha8!$A$2:$A$24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Folha8!$E$2:$E$24</c:f>
            </c:numRef>
          </c:yVal>
          <c:smooth val="1"/>
        </c:ser>
        <c:ser>
          <c:idx val="4"/>
          <c:order val="4"/>
          <c:tx>
            <c:strRef>
              <c:f>Folha8!$F$1</c:f>
              <c:strCache>
                <c:ptCount val="1"/>
                <c:pt idx="0">
                  <c:v>Câmbio Esc/$USD</c:v>
                </c:pt>
              </c:strCache>
            </c:strRef>
          </c:tx>
          <c:xVal>
            <c:numRef>
              <c:f>Folha8!$A$2:$A$24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Folha8!$F$2:$F$24</c:f>
            </c:numRef>
          </c:yVal>
          <c:smooth val="1"/>
        </c:ser>
        <c:ser>
          <c:idx val="5"/>
          <c:order val="5"/>
          <c:tx>
            <c:strRef>
              <c:f>Folha8!$G$1</c:f>
              <c:strCache>
                <c:ptCount val="1"/>
                <c:pt idx="0">
                  <c:v>PIBpc M. $USD</c:v>
                </c:pt>
              </c:strCache>
            </c:strRef>
          </c:tx>
          <c:xVal>
            <c:numRef>
              <c:f>Folha8!$A$2:$A$24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Folha8!$G$2:$G$24</c:f>
            </c:numRef>
          </c:yVal>
          <c:smooth val="1"/>
        </c:ser>
        <c:ser>
          <c:idx val="6"/>
          <c:order val="6"/>
          <c:tx>
            <c:strRef>
              <c:f>Folha8!$H$1</c:f>
              <c:strCache>
                <c:ptCount val="1"/>
                <c:pt idx="0">
                  <c:v>PIBpc $USD</c:v>
                </c:pt>
              </c:strCache>
            </c:strRef>
          </c:tx>
          <c:xVal>
            <c:numRef>
              <c:f>Folha8!$A$2:$A$24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Folha8!$H$2:$H$24</c:f>
            </c:numRef>
          </c:yVal>
          <c:smooth val="1"/>
        </c:ser>
        <c:ser>
          <c:idx val="7"/>
          <c:order val="7"/>
          <c:tx>
            <c:strRef>
              <c:f>Folha8!$I$1</c:f>
              <c:strCache>
                <c:ptCount val="1"/>
                <c:pt idx="0">
                  <c:v>Pop. Total</c:v>
                </c:pt>
              </c:strCache>
            </c:strRef>
          </c:tx>
          <c:xVal>
            <c:numRef>
              <c:f>Folha8!$A$2:$A$24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Folha8!$I$2:$I$24</c:f>
            </c:numRef>
          </c:yVal>
          <c:smooth val="1"/>
        </c:ser>
        <c:ser>
          <c:idx val="8"/>
          <c:order val="8"/>
          <c:tx>
            <c:strRef>
              <c:f>Folha8!$J$1</c:f>
              <c:strCache>
                <c:ptCount val="1"/>
                <c:pt idx="0">
                  <c:v>Rem %PIB</c:v>
                </c:pt>
              </c:strCache>
            </c:strRef>
          </c:tx>
          <c:xVal>
            <c:numRef>
              <c:f>Folha8!$A$2:$A$24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Folha8!$J$2:$J$24</c:f>
            </c:numRef>
          </c:yVal>
          <c:smooth val="1"/>
        </c:ser>
        <c:ser>
          <c:idx val="9"/>
          <c:order val="9"/>
          <c:tx>
            <c:strRef>
              <c:f>Folha8!$K$1</c:f>
              <c:strCache>
                <c:ptCount val="1"/>
                <c:pt idx="0">
                  <c:v>IDE % PIB</c:v>
                </c:pt>
              </c:strCache>
            </c:strRef>
          </c:tx>
          <c:marker>
            <c:symbol val="none"/>
          </c:marker>
          <c:xVal>
            <c:numRef>
              <c:f>Folha8!$A$2:$A$24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Folha8!$K$2:$K$24</c:f>
              <c:numCache>
                <c:formatCode>0.00</c:formatCode>
                <c:ptCount val="23"/>
                <c:pt idx="0">
                  <c:v>0.54295682511992949</c:v>
                </c:pt>
                <c:pt idx="1">
                  <c:v>0.12551014130144994</c:v>
                </c:pt>
                <c:pt idx="2">
                  <c:v>1.0079716075960381</c:v>
                </c:pt>
                <c:pt idx="3">
                  <c:v>0.520343552128406</c:v>
                </c:pt>
                <c:pt idx="4">
                  <c:v>5.3364133764397845</c:v>
                </c:pt>
                <c:pt idx="5">
                  <c:v>5.6506984831224933</c:v>
                </c:pt>
                <c:pt idx="6">
                  <c:v>2.3466171252797423</c:v>
                </c:pt>
                <c:pt idx="7">
                  <c:v>1.6664987054062861</c:v>
                </c:pt>
                <c:pt idx="8">
                  <c:v>10.242206242776062</c:v>
                </c:pt>
                <c:pt idx="9">
                  <c:v>7.800603049957699</c:v>
                </c:pt>
                <c:pt idx="10">
                  <c:v>2.2523684677062508</c:v>
                </c:pt>
                <c:pt idx="11">
                  <c:v>6.2085183642783406</c:v>
                </c:pt>
                <c:pt idx="12">
                  <c:v>4.1198742057698867</c:v>
                </c:pt>
                <c:pt idx="13">
                  <c:v>7.3554116693973608</c:v>
                </c:pt>
                <c:pt idx="14">
                  <c:v>8.3905162591345768</c:v>
                </c:pt>
                <c:pt idx="15">
                  <c:v>11.792557937983856</c:v>
                </c:pt>
                <c:pt idx="16">
                  <c:v>12.551691344056929</c:v>
                </c:pt>
                <c:pt idx="17">
                  <c:v>11.686216573371542</c:v>
                </c:pt>
                <c:pt idx="18">
                  <c:v>6.9859212976250875</c:v>
                </c:pt>
                <c:pt idx="19">
                  <c:v>6.7057566988287425</c:v>
                </c:pt>
                <c:pt idx="20">
                  <c:v>5.6191017008734221</c:v>
                </c:pt>
                <c:pt idx="21">
                  <c:v>3.2058597170988028</c:v>
                </c:pt>
                <c:pt idx="22">
                  <c:v>1.9419537973339158</c:v>
                </c:pt>
              </c:numCache>
            </c:numRef>
          </c:yVal>
          <c:smooth val="1"/>
        </c:ser>
        <c:axId val="110275968"/>
        <c:axId val="110367872"/>
      </c:scatterChart>
      <c:valAx>
        <c:axId val="110275968"/>
        <c:scaling>
          <c:orientation val="minMax"/>
        </c:scaling>
        <c:axPos val="b"/>
        <c:numFmt formatCode="General" sourceLinked="1"/>
        <c:tickLblPos val="nextTo"/>
        <c:crossAx val="110367872"/>
        <c:crosses val="autoZero"/>
        <c:crossBetween val="midCat"/>
      </c:valAx>
      <c:valAx>
        <c:axId val="110367872"/>
        <c:scaling>
          <c:orientation val="minMax"/>
        </c:scaling>
        <c:axPos val="l"/>
        <c:majorGridlines/>
        <c:numFmt formatCode="0.00" sourceLinked="1"/>
        <c:tickLblPos val="nextTo"/>
        <c:crossAx val="110275968"/>
        <c:crosses val="autoZero"/>
        <c:crossBetween val="midCat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/>
          <a:lstStyle/>
          <a:p>
            <a:pPr>
              <a:defRPr/>
            </a:pPr>
            <a:r>
              <a:rPr lang="pt-PT" sz="800">
                <a:latin typeface="Times New Roman" pitchFamily="18" charset="0"/>
                <a:cs typeface="Times New Roman" pitchFamily="18" charset="0"/>
              </a:rPr>
              <a:t>Cabo Verde: T. Oficiais em percentagem do PIB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Folha9!$B$1</c:f>
              <c:strCache>
                <c:ptCount val="1"/>
                <c:pt idx="0">
                  <c:v>REMESSAS </c:v>
                </c:pt>
              </c:strCache>
            </c:strRef>
          </c:tx>
          <c:xVal>
            <c:numRef>
              <c:f>Folha9!$A$2:$A$24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Folha9!$B$2:$B$24</c:f>
            </c:numRef>
          </c:yVal>
        </c:ser>
        <c:ser>
          <c:idx val="1"/>
          <c:order val="1"/>
          <c:tx>
            <c:strRef>
              <c:f>Folha9!$C$1</c:f>
              <c:strCache>
                <c:ptCount val="1"/>
                <c:pt idx="0">
                  <c:v>IDE</c:v>
                </c:pt>
              </c:strCache>
            </c:strRef>
          </c:tx>
          <c:xVal>
            <c:numRef>
              <c:f>Folha9!$A$2:$A$24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Folha9!$C$2:$C$24</c:f>
            </c:numRef>
          </c:yVal>
        </c:ser>
        <c:ser>
          <c:idx val="2"/>
          <c:order val="2"/>
          <c:tx>
            <c:strRef>
              <c:f>Folha9!$D$1</c:f>
              <c:strCache>
                <c:ptCount val="1"/>
                <c:pt idx="0">
                  <c:v>TRANSF. OFICIAIS </c:v>
                </c:pt>
              </c:strCache>
            </c:strRef>
          </c:tx>
          <c:xVal>
            <c:numRef>
              <c:f>Folha9!$A$2:$A$24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Folha9!$D$2:$D$24</c:f>
            </c:numRef>
          </c:yVal>
        </c:ser>
        <c:ser>
          <c:idx val="3"/>
          <c:order val="3"/>
          <c:tx>
            <c:strRef>
              <c:f>Folha9!$E$1</c:f>
              <c:strCache>
                <c:ptCount val="1"/>
                <c:pt idx="0">
                  <c:v>PIBpc M ECV</c:v>
                </c:pt>
              </c:strCache>
            </c:strRef>
          </c:tx>
          <c:xVal>
            <c:numRef>
              <c:f>Folha9!$A$2:$A$24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Folha9!$E$2:$E$24</c:f>
            </c:numRef>
          </c:yVal>
        </c:ser>
        <c:ser>
          <c:idx val="4"/>
          <c:order val="4"/>
          <c:tx>
            <c:strRef>
              <c:f>Folha9!$F$1</c:f>
              <c:strCache>
                <c:ptCount val="1"/>
                <c:pt idx="0">
                  <c:v>Câmbio Esc/$USD</c:v>
                </c:pt>
              </c:strCache>
            </c:strRef>
          </c:tx>
          <c:xVal>
            <c:numRef>
              <c:f>Folha9!$A$2:$A$24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Folha9!$F$2:$F$24</c:f>
            </c:numRef>
          </c:yVal>
        </c:ser>
        <c:ser>
          <c:idx val="5"/>
          <c:order val="5"/>
          <c:tx>
            <c:strRef>
              <c:f>Folha9!$G$1</c:f>
              <c:strCache>
                <c:ptCount val="1"/>
                <c:pt idx="0">
                  <c:v>PIBpc M. $USD</c:v>
                </c:pt>
              </c:strCache>
            </c:strRef>
          </c:tx>
          <c:xVal>
            <c:numRef>
              <c:f>Folha9!$A$2:$A$24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Folha9!$G$2:$G$24</c:f>
            </c:numRef>
          </c:yVal>
        </c:ser>
        <c:ser>
          <c:idx val="6"/>
          <c:order val="6"/>
          <c:tx>
            <c:strRef>
              <c:f>Folha9!$H$1</c:f>
              <c:strCache>
                <c:ptCount val="1"/>
                <c:pt idx="0">
                  <c:v>PIBpc $USD</c:v>
                </c:pt>
              </c:strCache>
            </c:strRef>
          </c:tx>
          <c:xVal>
            <c:numRef>
              <c:f>Folha9!$A$2:$A$24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Folha9!$H$2:$H$24</c:f>
            </c:numRef>
          </c:yVal>
        </c:ser>
        <c:ser>
          <c:idx val="7"/>
          <c:order val="7"/>
          <c:tx>
            <c:strRef>
              <c:f>Folha9!$I$1</c:f>
              <c:strCache>
                <c:ptCount val="1"/>
                <c:pt idx="0">
                  <c:v>Pop. Total</c:v>
                </c:pt>
              </c:strCache>
            </c:strRef>
          </c:tx>
          <c:xVal>
            <c:numRef>
              <c:f>Folha9!$A$2:$A$24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Folha9!$I$2:$I$24</c:f>
            </c:numRef>
          </c:yVal>
        </c:ser>
        <c:ser>
          <c:idx val="8"/>
          <c:order val="8"/>
          <c:tx>
            <c:strRef>
              <c:f>Folha9!$J$1</c:f>
              <c:strCache>
                <c:ptCount val="1"/>
                <c:pt idx="0">
                  <c:v>Rem %PIB</c:v>
                </c:pt>
              </c:strCache>
            </c:strRef>
          </c:tx>
          <c:xVal>
            <c:numRef>
              <c:f>Folha9!$A$2:$A$24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Folha9!$J$2:$J$24</c:f>
            </c:numRef>
          </c:yVal>
        </c:ser>
        <c:ser>
          <c:idx val="9"/>
          <c:order val="9"/>
          <c:tx>
            <c:strRef>
              <c:f>Folha9!$K$1</c:f>
              <c:strCache>
                <c:ptCount val="1"/>
                <c:pt idx="0">
                  <c:v>IDE % PIB</c:v>
                </c:pt>
              </c:strCache>
            </c:strRef>
          </c:tx>
          <c:xVal>
            <c:numRef>
              <c:f>Folha9!$A$2:$A$24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Folha9!$K$2:$K$24</c:f>
            </c:numRef>
          </c:yVal>
        </c:ser>
        <c:ser>
          <c:idx val="10"/>
          <c:order val="10"/>
          <c:tx>
            <c:strRef>
              <c:f>Folha9!$L$1</c:f>
              <c:strCache>
                <c:ptCount val="1"/>
                <c:pt idx="0">
                  <c:v>T. O.% PIB</c:v>
                </c:pt>
              </c:strCache>
            </c:strRef>
          </c:tx>
          <c:marker>
            <c:symbol val="none"/>
          </c:marker>
          <c:xVal>
            <c:numRef>
              <c:f>Folha9!$A$2:$A$24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Folha9!$L$2:$L$24</c:f>
              <c:numCache>
                <c:formatCode>0.0</c:formatCode>
                <c:ptCount val="23"/>
                <c:pt idx="0">
                  <c:v>10.986480593109864</c:v>
                </c:pt>
                <c:pt idx="1">
                  <c:v>16.695719940115534</c:v>
                </c:pt>
                <c:pt idx="2">
                  <c:v>10.122359705896498</c:v>
                </c:pt>
                <c:pt idx="3">
                  <c:v>10.37880891181625</c:v>
                </c:pt>
                <c:pt idx="4">
                  <c:v>10.602014051149586</c:v>
                </c:pt>
                <c:pt idx="5">
                  <c:v>9.8324839618683768</c:v>
                </c:pt>
                <c:pt idx="6">
                  <c:v>11.284298092381048</c:v>
                </c:pt>
                <c:pt idx="7">
                  <c:v>10.389889765732804</c:v>
                </c:pt>
                <c:pt idx="8">
                  <c:v>8.1400205265015089</c:v>
                </c:pt>
                <c:pt idx="9">
                  <c:v>4.0496695001132714</c:v>
                </c:pt>
                <c:pt idx="10">
                  <c:v>3.6043372542350847</c:v>
                </c:pt>
                <c:pt idx="11">
                  <c:v>5.7160646031163536</c:v>
                </c:pt>
                <c:pt idx="12">
                  <c:v>6.0057817060182295</c:v>
                </c:pt>
                <c:pt idx="13">
                  <c:v>5.7217691094150824</c:v>
                </c:pt>
                <c:pt idx="14">
                  <c:v>4.9579163060099258</c:v>
                </c:pt>
                <c:pt idx="15">
                  <c:v>4.296380422717009</c:v>
                </c:pt>
                <c:pt idx="16">
                  <c:v>4.4716087034944438</c:v>
                </c:pt>
                <c:pt idx="17">
                  <c:v>5.8196855187158745</c:v>
                </c:pt>
                <c:pt idx="18">
                  <c:v>5.1392047336232984</c:v>
                </c:pt>
                <c:pt idx="19">
                  <c:v>6.3428328125338291</c:v>
                </c:pt>
                <c:pt idx="20">
                  <c:v>3.7417863227062602</c:v>
                </c:pt>
                <c:pt idx="21">
                  <c:v>3.3730527321461743</c:v>
                </c:pt>
                <c:pt idx="22">
                  <c:v>3.0870435571805195</c:v>
                </c:pt>
              </c:numCache>
            </c:numRef>
          </c:yVal>
        </c:ser>
        <c:axId val="110433024"/>
        <c:axId val="110434560"/>
      </c:scatterChart>
      <c:valAx>
        <c:axId val="110433024"/>
        <c:scaling>
          <c:orientation val="minMax"/>
        </c:scaling>
        <c:axPos val="b"/>
        <c:numFmt formatCode="General" sourceLinked="1"/>
        <c:tickLblPos val="nextTo"/>
        <c:crossAx val="110434560"/>
        <c:crosses val="autoZero"/>
        <c:crossBetween val="midCat"/>
      </c:valAx>
      <c:valAx>
        <c:axId val="110434560"/>
        <c:scaling>
          <c:orientation val="minMax"/>
        </c:scaling>
        <c:axPos val="l"/>
        <c:majorGridlines/>
        <c:numFmt formatCode="0.0" sourceLinked="1"/>
        <c:tickLblPos val="nextTo"/>
        <c:crossAx val="110433024"/>
        <c:crosses val="autoZero"/>
        <c:crossBetween val="midCat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>
        <c:manualLayout>
          <c:layoutTarget val="inner"/>
          <c:xMode val="edge"/>
          <c:yMode val="edge"/>
          <c:x val="0.2015557713619997"/>
          <c:y val="0.15935515272542983"/>
          <c:w val="0.45167301422896106"/>
          <c:h val="0.75678335099548799"/>
        </c:manualLayout>
      </c:layout>
      <c:scatterChart>
        <c:scatterStyle val="smoothMarker"/>
        <c:ser>
          <c:idx val="0"/>
          <c:order val="0"/>
          <c:tx>
            <c:strRef>
              <c:f>Folha10!$B$1</c:f>
              <c:strCache>
                <c:ptCount val="1"/>
                <c:pt idx="0">
                  <c:v>REMESSAS </c:v>
                </c:pt>
              </c:strCache>
            </c:strRef>
          </c:tx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Folha10!$B$2:$B$24</c:f>
            </c:numRef>
          </c:yVal>
          <c:smooth val="1"/>
        </c:ser>
        <c:ser>
          <c:idx val="1"/>
          <c:order val="1"/>
          <c:tx>
            <c:strRef>
              <c:f>Folha10!$C$1</c:f>
              <c:strCache>
                <c:ptCount val="1"/>
                <c:pt idx="0">
                  <c:v>IDE</c:v>
                </c:pt>
              </c:strCache>
            </c:strRef>
          </c:tx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Folha10!$C$2:$C$24</c:f>
            </c:numRef>
          </c:yVal>
          <c:smooth val="1"/>
        </c:ser>
        <c:ser>
          <c:idx val="2"/>
          <c:order val="2"/>
          <c:tx>
            <c:strRef>
              <c:f>Folha10!$D$1</c:f>
              <c:strCache>
                <c:ptCount val="1"/>
                <c:pt idx="0">
                  <c:v>TRANSF. OFICIAIS </c:v>
                </c:pt>
              </c:strCache>
            </c:strRef>
          </c:tx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Folha10!$D$2:$D$24</c:f>
            </c:numRef>
          </c:yVal>
          <c:smooth val="1"/>
        </c:ser>
        <c:ser>
          <c:idx val="3"/>
          <c:order val="3"/>
          <c:tx>
            <c:strRef>
              <c:f>Folha10!$E$1</c:f>
              <c:strCache>
                <c:ptCount val="1"/>
                <c:pt idx="0">
                  <c:v>PIBpc M ECV</c:v>
                </c:pt>
              </c:strCache>
            </c:strRef>
          </c:tx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Folha10!$E$2:$E$24</c:f>
            </c:numRef>
          </c:yVal>
          <c:smooth val="1"/>
        </c:ser>
        <c:ser>
          <c:idx val="4"/>
          <c:order val="4"/>
          <c:tx>
            <c:strRef>
              <c:f>Folha10!$F$1</c:f>
              <c:strCache>
                <c:ptCount val="1"/>
                <c:pt idx="0">
                  <c:v>Câmbio Esc/$USD</c:v>
                </c:pt>
              </c:strCache>
            </c:strRef>
          </c:tx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Folha10!$F$2:$F$24</c:f>
            </c:numRef>
          </c:yVal>
          <c:smooth val="1"/>
        </c:ser>
        <c:ser>
          <c:idx val="5"/>
          <c:order val="5"/>
          <c:tx>
            <c:strRef>
              <c:f>Folha10!$G$1</c:f>
              <c:strCache>
                <c:ptCount val="1"/>
                <c:pt idx="0">
                  <c:v>PIBpc M. $USD</c:v>
                </c:pt>
              </c:strCache>
            </c:strRef>
          </c:tx>
          <c:marker>
            <c:symbol val="none"/>
          </c:marker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Folha10!$G$2:$G$24</c:f>
              <c:numCache>
                <c:formatCode>0.00</c:formatCode>
                <c:ptCount val="23"/>
                <c:pt idx="0">
                  <c:v>321.10348690659566</c:v>
                </c:pt>
                <c:pt idx="1">
                  <c:v>358.43134372242656</c:v>
                </c:pt>
                <c:pt idx="2">
                  <c:v>361.53425338803925</c:v>
                </c:pt>
                <c:pt idx="3">
                  <c:v>408.99999999999869</c:v>
                </c:pt>
                <c:pt idx="4">
                  <c:v>490.63240078074278</c:v>
                </c:pt>
                <c:pt idx="5">
                  <c:v>504.87347136457197</c:v>
                </c:pt>
                <c:pt idx="6">
                  <c:v>493.27502950960394</c:v>
                </c:pt>
                <c:pt idx="7">
                  <c:v>526.57618124298392</c:v>
                </c:pt>
                <c:pt idx="8">
                  <c:v>601.49756572539798</c:v>
                </c:pt>
                <c:pt idx="9">
                  <c:v>556.94338971349669</c:v>
                </c:pt>
                <c:pt idx="10">
                  <c:v>563.10607905202505</c:v>
                </c:pt>
                <c:pt idx="11">
                  <c:v>620.4852464608565</c:v>
                </c:pt>
                <c:pt idx="12">
                  <c:v>813.15644171779161</c:v>
                </c:pt>
                <c:pt idx="13">
                  <c:v>925.02253775073257</c:v>
                </c:pt>
                <c:pt idx="14">
                  <c:v>972.19853355895987</c:v>
                </c:pt>
                <c:pt idx="15">
                  <c:v>1107.5207551461742</c:v>
                </c:pt>
                <c:pt idx="16">
                  <c:v>1512.9496402877701</c:v>
                </c:pt>
                <c:pt idx="17">
                  <c:v>1787.8683302362292</c:v>
                </c:pt>
                <c:pt idx="18">
                  <c:v>1711.7535903250191</c:v>
                </c:pt>
                <c:pt idx="19">
                  <c:v>1663.8928914505284</c:v>
                </c:pt>
                <c:pt idx="20">
                  <c:v>1865.8425832492433</c:v>
                </c:pt>
                <c:pt idx="21">
                  <c:v>1755.8713886299811</c:v>
                </c:pt>
                <c:pt idx="22">
                  <c:v>1870.2178885277481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Folha10!$H$1</c:f>
              <c:strCache>
                <c:ptCount val="1"/>
                <c:pt idx="0">
                  <c:v>PIBpc $USD</c:v>
                </c:pt>
              </c:strCache>
            </c:strRef>
          </c:tx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Folha10!$H$2:$H$24</c:f>
            </c:numRef>
          </c:yVal>
          <c:smooth val="1"/>
        </c:ser>
        <c:ser>
          <c:idx val="7"/>
          <c:order val="7"/>
          <c:tx>
            <c:strRef>
              <c:f>Folha10!$I$1</c:f>
              <c:strCache>
                <c:ptCount val="1"/>
                <c:pt idx="0">
                  <c:v>Pop. Total</c:v>
                </c:pt>
              </c:strCache>
            </c:strRef>
          </c:tx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Folha10!$I$2:$I$24</c:f>
            </c:numRef>
          </c:yVal>
          <c:smooth val="1"/>
        </c:ser>
        <c:ser>
          <c:idx val="8"/>
          <c:order val="8"/>
          <c:tx>
            <c:strRef>
              <c:f>Folha10!$J$1</c:f>
              <c:strCache>
                <c:ptCount val="1"/>
                <c:pt idx="0">
                  <c:v>Rem %PIB</c:v>
                </c:pt>
              </c:strCache>
            </c:strRef>
          </c:tx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Folha10!$J$2:$J$24</c:f>
            </c:numRef>
          </c:yVal>
          <c:smooth val="1"/>
        </c:ser>
        <c:ser>
          <c:idx val="9"/>
          <c:order val="9"/>
          <c:tx>
            <c:strRef>
              <c:f>Folha10!$K$1</c:f>
              <c:strCache>
                <c:ptCount val="1"/>
                <c:pt idx="0">
                  <c:v>IDE % PIB</c:v>
                </c:pt>
              </c:strCache>
            </c:strRef>
          </c:tx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Folha10!$K$2:$K$24</c:f>
            </c:numRef>
          </c:yVal>
          <c:smooth val="1"/>
        </c:ser>
        <c:ser>
          <c:idx val="10"/>
          <c:order val="10"/>
          <c:tx>
            <c:strRef>
              <c:f>Folha10!$L$1</c:f>
              <c:strCache>
                <c:ptCount val="1"/>
                <c:pt idx="0">
                  <c:v>T. O.% PIB</c:v>
                </c:pt>
              </c:strCache>
            </c:strRef>
          </c:tx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Folha10!$L$2:$L$24</c:f>
            </c:numRef>
          </c:yVal>
          <c:smooth val="1"/>
        </c:ser>
        <c:ser>
          <c:idx val="11"/>
          <c:order val="11"/>
          <c:tx>
            <c:strRef>
              <c:f>Folha10!$M$1</c:f>
              <c:strCache>
                <c:ptCount val="1"/>
                <c:pt idx="0">
                  <c:v>R+IDE+TO/PIB</c:v>
                </c:pt>
              </c:strCache>
            </c:strRef>
          </c:tx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Folha10!$M$2:$M$24</c:f>
            </c:numRef>
          </c:yVal>
          <c:smooth val="1"/>
        </c:ser>
        <c:ser>
          <c:idx val="12"/>
          <c:order val="12"/>
          <c:tx>
            <c:strRef>
              <c:f>Folha10!$N$1</c:f>
              <c:strCache>
                <c:ptCount val="1"/>
                <c:pt idx="0">
                  <c:v>Rem em Milhões de $USD</c:v>
                </c:pt>
              </c:strCache>
            </c:strRef>
          </c:tx>
          <c:marker>
            <c:symbol val="none"/>
          </c:marker>
          <c:xVal>
            <c:numRef>
              <c:f>Folha10!$A$2:$A$24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Folha10!$N$2:$N$24</c:f>
              <c:numCache>
                <c:formatCode>0.0</c:formatCode>
                <c:ptCount val="23"/>
                <c:pt idx="0">
                  <c:v>48.932922559865546</c:v>
                </c:pt>
                <c:pt idx="1">
                  <c:v>55.77624228168186</c:v>
                </c:pt>
                <c:pt idx="2">
                  <c:v>57.468606241452186</c:v>
                </c:pt>
                <c:pt idx="3">
                  <c:v>63.710622710622701</c:v>
                </c:pt>
                <c:pt idx="4">
                  <c:v>76.07677293428435</c:v>
                </c:pt>
                <c:pt idx="5">
                  <c:v>74.179682770311118</c:v>
                </c:pt>
                <c:pt idx="6">
                  <c:v>60.309046034982295</c:v>
                </c:pt>
                <c:pt idx="7">
                  <c:v>73.078885600570658</c:v>
                </c:pt>
                <c:pt idx="8">
                  <c:v>72.576436222003608</c:v>
                </c:pt>
                <c:pt idx="9">
                  <c:v>66.737141870900928</c:v>
                </c:pt>
                <c:pt idx="10">
                  <c:v>79.75002029056084</c:v>
                </c:pt>
                <c:pt idx="11">
                  <c:v>84.530104042299172</c:v>
                </c:pt>
                <c:pt idx="12">
                  <c:v>97.280163599182927</c:v>
                </c:pt>
                <c:pt idx="13">
                  <c:v>98.613928329952671</c:v>
                </c:pt>
                <c:pt idx="14">
                  <c:v>124.10603496897912</c:v>
                </c:pt>
                <c:pt idx="15">
                  <c:v>123.81439781644217</c:v>
                </c:pt>
                <c:pt idx="16">
                  <c:v>126.01091540560662</c:v>
                </c:pt>
                <c:pt idx="17">
                  <c:v>138.35943721794894</c:v>
                </c:pt>
                <c:pt idx="18">
                  <c:v>128.94935752078598</c:v>
                </c:pt>
                <c:pt idx="19">
                  <c:v>124.13544668587896</c:v>
                </c:pt>
                <c:pt idx="20">
                  <c:v>175.08829465186679</c:v>
                </c:pt>
                <c:pt idx="21">
                  <c:v>168.28984156570363</c:v>
                </c:pt>
                <c:pt idx="22">
                  <c:v>165.66750932948116</c:v>
                </c:pt>
              </c:numCache>
            </c:numRef>
          </c:yVal>
          <c:smooth val="1"/>
        </c:ser>
        <c:axId val="112779648"/>
        <c:axId val="112781184"/>
      </c:scatterChart>
      <c:valAx>
        <c:axId val="112779648"/>
        <c:scaling>
          <c:orientation val="minMax"/>
        </c:scaling>
        <c:axPos val="b"/>
        <c:numFmt formatCode="General" sourceLinked="1"/>
        <c:tickLblPos val="nextTo"/>
        <c:crossAx val="112781184"/>
        <c:crosses val="autoZero"/>
        <c:crossBetween val="midCat"/>
      </c:valAx>
      <c:valAx>
        <c:axId val="112781184"/>
        <c:scaling>
          <c:orientation val="minMax"/>
        </c:scaling>
        <c:axPos val="l"/>
        <c:majorGridlines/>
        <c:numFmt formatCode="0.00" sourceLinked="1"/>
        <c:tickLblPos val="nextTo"/>
        <c:crossAx val="112779648"/>
        <c:crosses val="autoZero"/>
        <c:crossBetween val="midCat"/>
      </c:valAx>
    </c:plotArea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plotArea>
      <c:layout>
        <c:manualLayout>
          <c:layoutTarget val="inner"/>
          <c:xMode val="edge"/>
          <c:yMode val="edge"/>
          <c:x val="9.8878018942057763E-2"/>
          <c:y val="0.20777078517206618"/>
          <c:w val="0.63631402961773653"/>
          <c:h val="0.64100603827582592"/>
        </c:manualLayout>
      </c:layout>
      <c:scatterChart>
        <c:scatterStyle val="smoothMarker"/>
        <c:ser>
          <c:idx val="0"/>
          <c:order val="0"/>
          <c:tx>
            <c:strRef>
              <c:f>Folha1!$B$4</c:f>
              <c:strCache>
                <c:ptCount val="1"/>
                <c:pt idx="0">
                  <c:v>REMESSAS </c:v>
                </c:pt>
              </c:strCache>
            </c:strRef>
          </c:tx>
          <c:marker>
            <c:symbol val="none"/>
          </c:marker>
          <c:xVal>
            <c:numRef>
              <c:f>Folha1!$A$5:$A$28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Folha1!$B$5:$B$28</c:f>
              <c:numCache>
                <c:formatCode>General</c:formatCode>
                <c:ptCount val="23"/>
                <c:pt idx="0">
                  <c:v>0.60000000000000064</c:v>
                </c:pt>
                <c:pt idx="1">
                  <c:v>1.1000000000000001</c:v>
                </c:pt>
                <c:pt idx="2">
                  <c:v>1.5</c:v>
                </c:pt>
                <c:pt idx="3">
                  <c:v>3.4</c:v>
                </c:pt>
                <c:pt idx="4">
                  <c:v>0.60000000000000064</c:v>
                </c:pt>
                <c:pt idx="5">
                  <c:v>0.5</c:v>
                </c:pt>
                <c:pt idx="6">
                  <c:v>0.8</c:v>
                </c:pt>
                <c:pt idx="7">
                  <c:v>0.5</c:v>
                </c:pt>
                <c:pt idx="8">
                  <c:v>0.60000000000000064</c:v>
                </c:pt>
                <c:pt idx="9">
                  <c:v>0.5</c:v>
                </c:pt>
                <c:pt idx="10">
                  <c:v>0.60000000000000064</c:v>
                </c:pt>
                <c:pt idx="11">
                  <c:v>0.8</c:v>
                </c:pt>
                <c:pt idx="12">
                  <c:v>1.8</c:v>
                </c:pt>
                <c:pt idx="13">
                  <c:v>2.1</c:v>
                </c:pt>
                <c:pt idx="14">
                  <c:v>1.5</c:v>
                </c:pt>
                <c:pt idx="15">
                  <c:v>1.6</c:v>
                </c:pt>
                <c:pt idx="16">
                  <c:v>2</c:v>
                </c:pt>
                <c:pt idx="17">
                  <c:v>3</c:v>
                </c:pt>
                <c:pt idx="18">
                  <c:v>2</c:v>
                </c:pt>
                <c:pt idx="19">
                  <c:v>6.4</c:v>
                </c:pt>
                <c:pt idx="20">
                  <c:v>6.9</c:v>
                </c:pt>
                <c:pt idx="21">
                  <c:v>6.4</c:v>
                </c:pt>
                <c:pt idx="22">
                  <c:v>23.1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Folha1!$C$4</c:f>
              <c:strCache>
                <c:ptCount val="1"/>
                <c:pt idx="0">
                  <c:v>IDE</c:v>
                </c:pt>
              </c:strCache>
            </c:strRef>
          </c:tx>
          <c:marker>
            <c:symbol val="none"/>
          </c:marker>
          <c:xVal>
            <c:numRef>
              <c:f>Folha1!$A$5:$A$28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Folha1!$C$5:$C$28</c:f>
              <c:numCache>
                <c:formatCode>General</c:formatCode>
                <c:ptCount val="23"/>
                <c:pt idx="0">
                  <c:v>0</c:v>
                </c:pt>
                <c:pt idx="1">
                  <c:v>1.27</c:v>
                </c:pt>
                <c:pt idx="2">
                  <c:v>4</c:v>
                </c:pt>
                <c:pt idx="3">
                  <c:v>1.75</c:v>
                </c:pt>
                <c:pt idx="4">
                  <c:v>1.9000000000000001</c:v>
                </c:pt>
                <c:pt idx="5">
                  <c:v>2.4</c:v>
                </c:pt>
                <c:pt idx="6">
                  <c:v>0.4</c:v>
                </c:pt>
                <c:pt idx="7">
                  <c:v>4.2</c:v>
                </c:pt>
                <c:pt idx="8">
                  <c:v>3</c:v>
                </c:pt>
                <c:pt idx="9">
                  <c:v>3.8</c:v>
                </c:pt>
                <c:pt idx="10">
                  <c:v>3.3</c:v>
                </c:pt>
                <c:pt idx="11">
                  <c:v>3.6</c:v>
                </c:pt>
                <c:pt idx="12">
                  <c:v>3.4</c:v>
                </c:pt>
                <c:pt idx="13">
                  <c:v>3.5</c:v>
                </c:pt>
                <c:pt idx="14">
                  <c:v>6.2</c:v>
                </c:pt>
                <c:pt idx="15">
                  <c:v>27.6</c:v>
                </c:pt>
                <c:pt idx="16">
                  <c:v>22.1</c:v>
                </c:pt>
                <c:pt idx="17">
                  <c:v>56.7</c:v>
                </c:pt>
                <c:pt idx="18">
                  <c:v>15.3</c:v>
                </c:pt>
                <c:pt idx="19">
                  <c:v>50.5</c:v>
                </c:pt>
                <c:pt idx="20">
                  <c:v>33.9</c:v>
                </c:pt>
                <c:pt idx="21">
                  <c:v>22.1</c:v>
                </c:pt>
                <c:pt idx="22">
                  <c:v>29.5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Folha1!$D$4</c:f>
              <c:strCache>
                <c:ptCount val="1"/>
                <c:pt idx="0">
                  <c:v>TRANSF. OFICIAIS </c:v>
                </c:pt>
              </c:strCache>
            </c:strRef>
          </c:tx>
          <c:marker>
            <c:symbol val="none"/>
          </c:marker>
          <c:xVal>
            <c:numRef>
              <c:f>Folha1!$A$5:$A$28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xVal>
          <c:yVal>
            <c:numRef>
              <c:f>Folha1!$D$5:$D$28</c:f>
              <c:numCache>
                <c:formatCode>General</c:formatCode>
                <c:ptCount val="23"/>
                <c:pt idx="0">
                  <c:v>11.6</c:v>
                </c:pt>
                <c:pt idx="1">
                  <c:v>13.9</c:v>
                </c:pt>
                <c:pt idx="2">
                  <c:v>10.200000000000001</c:v>
                </c:pt>
                <c:pt idx="3">
                  <c:v>13.6</c:v>
                </c:pt>
                <c:pt idx="4">
                  <c:v>22.7</c:v>
                </c:pt>
                <c:pt idx="5">
                  <c:v>21.6</c:v>
                </c:pt>
                <c:pt idx="6">
                  <c:v>31.3</c:v>
                </c:pt>
                <c:pt idx="7">
                  <c:v>13.3</c:v>
                </c:pt>
                <c:pt idx="8">
                  <c:v>15</c:v>
                </c:pt>
                <c:pt idx="9">
                  <c:v>15.9</c:v>
                </c:pt>
                <c:pt idx="10">
                  <c:v>18</c:v>
                </c:pt>
                <c:pt idx="11">
                  <c:v>15.7</c:v>
                </c:pt>
                <c:pt idx="12">
                  <c:v>20.100000000000001</c:v>
                </c:pt>
                <c:pt idx="13">
                  <c:v>23</c:v>
                </c:pt>
                <c:pt idx="14">
                  <c:v>33.5</c:v>
                </c:pt>
                <c:pt idx="15">
                  <c:v>0.8</c:v>
                </c:pt>
                <c:pt idx="16">
                  <c:v>1.5</c:v>
                </c:pt>
                <c:pt idx="17">
                  <c:v>2.9</c:v>
                </c:pt>
                <c:pt idx="18">
                  <c:v>5.6</c:v>
                </c:pt>
                <c:pt idx="19">
                  <c:v>6</c:v>
                </c:pt>
                <c:pt idx="20">
                  <c:v>9.6</c:v>
                </c:pt>
                <c:pt idx="21">
                  <c:v>9.2000000000000011</c:v>
                </c:pt>
                <c:pt idx="22">
                  <c:v>13.5</c:v>
                </c:pt>
              </c:numCache>
            </c:numRef>
          </c:yVal>
          <c:smooth val="1"/>
        </c:ser>
        <c:axId val="113086464"/>
        <c:axId val="113088000"/>
      </c:scatterChart>
      <c:valAx>
        <c:axId val="113086464"/>
        <c:scaling>
          <c:orientation val="minMax"/>
        </c:scaling>
        <c:axPos val="b"/>
        <c:numFmt formatCode="General" sourceLinked="1"/>
        <c:tickLblPos val="nextTo"/>
        <c:crossAx val="113088000"/>
        <c:crosses val="autoZero"/>
        <c:crossBetween val="midCat"/>
      </c:valAx>
      <c:valAx>
        <c:axId val="113088000"/>
        <c:scaling>
          <c:orientation val="minMax"/>
        </c:scaling>
        <c:axPos val="l"/>
        <c:majorGridlines/>
        <c:numFmt formatCode="General" sourceLinked="1"/>
        <c:tickLblPos val="nextTo"/>
        <c:crossAx val="113086464"/>
        <c:crosses val="autoZero"/>
        <c:crossBetween val="midCat"/>
      </c:val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t-PT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/>
          <a:lstStyle/>
          <a:p>
            <a:pPr>
              <a:defRPr/>
            </a:pPr>
            <a:r>
              <a:rPr lang="en-US" sz="800">
                <a:latin typeface="Times New Roman" pitchFamily="18" charset="0"/>
                <a:cs typeface="Times New Roman" pitchFamily="18" charset="0"/>
              </a:rPr>
              <a:t>S. Tomé e Príncipe: Remessas em percentagem do PIB</a:t>
            </a:r>
          </a:p>
        </c:rich>
      </c:tx>
    </c:title>
    <c:plotArea>
      <c:layout>
        <c:manualLayout>
          <c:layoutTarget val="inner"/>
          <c:xMode val="edge"/>
          <c:yMode val="edge"/>
          <c:x val="8.6361427294491214E-2"/>
          <c:y val="0.17943762733494481"/>
          <c:w val="0.71820513632939831"/>
          <c:h val="0.68921660834062359"/>
        </c:manualLayout>
      </c:layout>
      <c:scatterChart>
        <c:scatterStyle val="smoothMarker"/>
        <c:ser>
          <c:idx val="0"/>
          <c:order val="0"/>
          <c:tx>
            <c:strRef>
              <c:f>Folha19!$B$1</c:f>
              <c:strCache>
                <c:ptCount val="1"/>
                <c:pt idx="0">
                  <c:v>REMESSAS </c:v>
                </c:pt>
              </c:strCache>
            </c:strRef>
          </c:tx>
          <c:marker>
            <c:symbol val="none"/>
          </c:marker>
          <c:xVal>
            <c:numRef>
              <c:f>Folha19!$A$2:$A$25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Folha19!$B$2:$B$25</c:f>
            </c:numRef>
          </c:yVal>
          <c:smooth val="1"/>
        </c:ser>
        <c:ser>
          <c:idx val="1"/>
          <c:order val="1"/>
          <c:tx>
            <c:strRef>
              <c:f>Folha19!$C$1</c:f>
              <c:strCache>
                <c:ptCount val="1"/>
                <c:pt idx="0">
                  <c:v>IDE</c:v>
                </c:pt>
              </c:strCache>
            </c:strRef>
          </c:tx>
          <c:xVal>
            <c:numRef>
              <c:f>Folha19!$A$2:$A$25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Folha19!$C$2:$C$25</c:f>
            </c:numRef>
          </c:yVal>
          <c:smooth val="1"/>
        </c:ser>
        <c:ser>
          <c:idx val="2"/>
          <c:order val="2"/>
          <c:tx>
            <c:strRef>
              <c:f>Folha19!$D$1</c:f>
              <c:strCache>
                <c:ptCount val="1"/>
                <c:pt idx="0">
                  <c:v>TRANSF. OFICIAIS </c:v>
                </c:pt>
              </c:strCache>
            </c:strRef>
          </c:tx>
          <c:xVal>
            <c:numRef>
              <c:f>Folha19!$A$2:$A$25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Folha19!$D$2:$D$25</c:f>
            </c:numRef>
          </c:yVal>
          <c:smooth val="1"/>
        </c:ser>
        <c:ser>
          <c:idx val="3"/>
          <c:order val="3"/>
          <c:tx>
            <c:strRef>
              <c:f>Folha19!$E$1</c:f>
              <c:strCache>
                <c:ptCount val="1"/>
                <c:pt idx="0">
                  <c:v>PIB per capita</c:v>
                </c:pt>
              </c:strCache>
            </c:strRef>
          </c:tx>
          <c:xVal>
            <c:numRef>
              <c:f>Folha19!$A$2:$A$25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Folha19!$E$2:$E$25</c:f>
            </c:numRef>
          </c:yVal>
          <c:smooth val="1"/>
        </c:ser>
        <c:ser>
          <c:idx val="4"/>
          <c:order val="4"/>
          <c:tx>
            <c:strRef>
              <c:f>Folha19!$F$1</c:f>
              <c:strCache>
                <c:ptCount val="1"/>
                <c:pt idx="0">
                  <c:v>PIBpc</c:v>
                </c:pt>
              </c:strCache>
            </c:strRef>
          </c:tx>
          <c:xVal>
            <c:numRef>
              <c:f>Folha19!$A$2:$A$25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Folha19!$F$2:$F$25</c:f>
            </c:numRef>
          </c:yVal>
          <c:smooth val="1"/>
        </c:ser>
        <c:ser>
          <c:idx val="5"/>
          <c:order val="5"/>
          <c:tx>
            <c:strRef>
              <c:f>Folha19!$G$1</c:f>
              <c:strCache>
                <c:ptCount val="1"/>
                <c:pt idx="0">
                  <c:v>Pop. Total</c:v>
                </c:pt>
              </c:strCache>
            </c:strRef>
          </c:tx>
          <c:xVal>
            <c:numRef>
              <c:f>Folha19!$A$2:$A$25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Folha19!$G$2:$G$25</c:f>
            </c:numRef>
          </c:yVal>
          <c:smooth val="1"/>
        </c:ser>
        <c:ser>
          <c:idx val="6"/>
          <c:order val="6"/>
          <c:tx>
            <c:strRef>
              <c:f>Folha19!$H$1</c:f>
              <c:strCache>
                <c:ptCount val="1"/>
                <c:pt idx="0">
                  <c:v>Rem % PIB</c:v>
                </c:pt>
              </c:strCache>
            </c:strRef>
          </c:tx>
          <c:marker>
            <c:symbol val="none"/>
          </c:marker>
          <c:xVal>
            <c:numRef>
              <c:f>Folha19!$A$2:$A$25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Folha19!$H$2:$H$25</c:f>
              <c:numCache>
                <c:formatCode>0.0</c:formatCode>
                <c:ptCount val="24"/>
                <c:pt idx="1">
                  <c:v>1.1194029850746268</c:v>
                </c:pt>
                <c:pt idx="2">
                  <c:v>2.5462962962962972</c:v>
                </c:pt>
                <c:pt idx="3">
                  <c:v>3.3333333333333335</c:v>
                </c:pt>
                <c:pt idx="4">
                  <c:v>3.807390817469205</c:v>
                </c:pt>
                <c:pt idx="5">
                  <c:v>1.3186813186813187</c:v>
                </c:pt>
                <c:pt idx="6">
                  <c:v>1.1135857461024499</c:v>
                </c:pt>
                <c:pt idx="7">
                  <c:v>1.8223234624145788</c:v>
                </c:pt>
                <c:pt idx="8">
                  <c:v>0.90579710144927561</c:v>
                </c:pt>
                <c:pt idx="9">
                  <c:v>1.2738853503184575</c:v>
                </c:pt>
                <c:pt idx="10">
                  <c:v>1.0799136069114472</c:v>
                </c:pt>
                <c:pt idx="11">
                  <c:v>1.2578616352200982</c:v>
                </c:pt>
                <c:pt idx="12">
                  <c:v>0.8676789587852497</c:v>
                </c:pt>
                <c:pt idx="13">
                  <c:v>1.9067796610169501</c:v>
                </c:pt>
                <c:pt idx="14">
                  <c:v>1.9354838709677573</c:v>
                </c:pt>
                <c:pt idx="15">
                  <c:v>1.304347826086977</c:v>
                </c:pt>
                <c:pt idx="16">
                  <c:v>1.1782032400589102</c:v>
                </c:pt>
                <c:pt idx="17">
                  <c:v>1.3586956521739098</c:v>
                </c:pt>
                <c:pt idx="18">
                  <c:v>1.6528925619834867</c:v>
                </c:pt>
                <c:pt idx="19">
                  <c:v>1.0178117048346056</c:v>
                </c:pt>
                <c:pt idx="20">
                  <c:v>3.1968031968031569</c:v>
                </c:pt>
                <c:pt idx="21">
                  <c:v>2.7991886409736311</c:v>
                </c:pt>
                <c:pt idx="22">
                  <c:v>2.4483550114766643</c:v>
                </c:pt>
                <c:pt idx="23">
                  <c:v>7.5024358557973345</c:v>
                </c:pt>
              </c:numCache>
            </c:numRef>
          </c:yVal>
          <c:smooth val="1"/>
        </c:ser>
        <c:axId val="114692864"/>
        <c:axId val="114694400"/>
      </c:scatterChart>
      <c:valAx>
        <c:axId val="114692864"/>
        <c:scaling>
          <c:orientation val="minMax"/>
        </c:scaling>
        <c:axPos val="b"/>
        <c:numFmt formatCode="General" sourceLinked="1"/>
        <c:tickLblPos val="nextTo"/>
        <c:crossAx val="114694400"/>
        <c:crosses val="autoZero"/>
        <c:crossBetween val="midCat"/>
      </c:valAx>
      <c:valAx>
        <c:axId val="114694400"/>
        <c:scaling>
          <c:orientation val="minMax"/>
        </c:scaling>
        <c:axPos val="l"/>
        <c:majorGridlines/>
        <c:numFmt formatCode="General" sourceLinked="1"/>
        <c:tickLblPos val="nextTo"/>
        <c:crossAx val="114692864"/>
        <c:crosses val="autoZero"/>
        <c:crossBetween val="midCat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/>
          <a:lstStyle/>
          <a:p>
            <a:pPr algn="ctr">
              <a:defRPr/>
            </a:pPr>
            <a:r>
              <a:rPr lang="en-US" sz="800" b="1" i="0" u="none" strike="noStrike" baseline="0">
                <a:latin typeface="Times New Roman" pitchFamily="18" charset="0"/>
                <a:cs typeface="Times New Roman" pitchFamily="18" charset="0"/>
              </a:rPr>
              <a:t>S. Tomé e Príncipe: IDE em percentagem do PIB </a:t>
            </a:r>
            <a:r>
              <a:rPr lang="en-US" sz="8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6149222098841884"/>
          <c:y val="8.0352089387640047E-2"/>
        </c:manualLayout>
      </c:layout>
    </c:title>
    <c:plotArea>
      <c:layout>
        <c:manualLayout>
          <c:layoutTarget val="inner"/>
          <c:xMode val="edge"/>
          <c:yMode val="edge"/>
          <c:x val="8.3706697602797697E-2"/>
          <c:y val="0.27470276537856303"/>
          <c:w val="0.67756111418105713"/>
          <c:h val="0.55107896470360251"/>
        </c:manualLayout>
      </c:layout>
      <c:scatterChart>
        <c:scatterStyle val="smoothMarker"/>
        <c:ser>
          <c:idx val="0"/>
          <c:order val="0"/>
          <c:tx>
            <c:strRef>
              <c:f>Folha16!$L$1</c:f>
              <c:strCache>
                <c:ptCount val="1"/>
                <c:pt idx="0">
                  <c:v>REMESSAS </c:v>
                </c:pt>
              </c:strCache>
            </c:strRef>
          </c:tx>
          <c:xVal>
            <c:numRef>
              <c:f>Folha16!$K$2:$K$25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Folha16!$L$2:$L$25</c:f>
            </c:numRef>
          </c:yVal>
          <c:smooth val="1"/>
        </c:ser>
        <c:ser>
          <c:idx val="1"/>
          <c:order val="1"/>
          <c:tx>
            <c:strRef>
              <c:f>Folha16!$M$1</c:f>
              <c:strCache>
                <c:ptCount val="1"/>
                <c:pt idx="0">
                  <c:v>IDE</c:v>
                </c:pt>
              </c:strCache>
            </c:strRef>
          </c:tx>
          <c:xVal>
            <c:numRef>
              <c:f>Folha16!$K$2:$K$25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Folha16!$M$2:$M$25</c:f>
            </c:numRef>
          </c:yVal>
          <c:smooth val="1"/>
        </c:ser>
        <c:ser>
          <c:idx val="2"/>
          <c:order val="2"/>
          <c:tx>
            <c:strRef>
              <c:f>Folha16!$N$1</c:f>
              <c:strCache>
                <c:ptCount val="1"/>
                <c:pt idx="0">
                  <c:v>TRANSF. OFICIAIS </c:v>
                </c:pt>
              </c:strCache>
            </c:strRef>
          </c:tx>
          <c:xVal>
            <c:numRef>
              <c:f>Folha16!$K$2:$K$25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Folha16!$N$2:$N$25</c:f>
            </c:numRef>
          </c:yVal>
          <c:smooth val="1"/>
        </c:ser>
        <c:ser>
          <c:idx val="3"/>
          <c:order val="3"/>
          <c:tx>
            <c:strRef>
              <c:f>Folha16!$O$1</c:f>
              <c:strCache>
                <c:ptCount val="1"/>
                <c:pt idx="0">
                  <c:v>PIB per capita</c:v>
                </c:pt>
              </c:strCache>
            </c:strRef>
          </c:tx>
          <c:xVal>
            <c:numRef>
              <c:f>Folha16!$K$2:$K$25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Folha16!$O$2:$O$25</c:f>
            </c:numRef>
          </c:yVal>
          <c:smooth val="1"/>
        </c:ser>
        <c:ser>
          <c:idx val="4"/>
          <c:order val="4"/>
          <c:tx>
            <c:strRef>
              <c:f>Folha16!$P$1</c:f>
              <c:strCache>
                <c:ptCount val="1"/>
                <c:pt idx="0">
                  <c:v>PIBpc</c:v>
                </c:pt>
              </c:strCache>
            </c:strRef>
          </c:tx>
          <c:xVal>
            <c:numRef>
              <c:f>Folha16!$K$2:$K$25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Folha16!$P$2:$P$25</c:f>
            </c:numRef>
          </c:yVal>
          <c:smooth val="1"/>
        </c:ser>
        <c:ser>
          <c:idx val="5"/>
          <c:order val="5"/>
          <c:tx>
            <c:strRef>
              <c:f>Folha16!$Q$1</c:f>
              <c:strCache>
                <c:ptCount val="1"/>
                <c:pt idx="0">
                  <c:v>Pop. Total</c:v>
                </c:pt>
              </c:strCache>
            </c:strRef>
          </c:tx>
          <c:xVal>
            <c:numRef>
              <c:f>Folha16!$K$2:$K$25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Folha16!$Q$2:$Q$25</c:f>
            </c:numRef>
          </c:yVal>
          <c:smooth val="1"/>
        </c:ser>
        <c:ser>
          <c:idx val="6"/>
          <c:order val="6"/>
          <c:tx>
            <c:strRef>
              <c:f>Folha16!$R$1</c:f>
              <c:strCache>
                <c:ptCount val="1"/>
                <c:pt idx="0">
                  <c:v>Rem % PIB</c:v>
                </c:pt>
              </c:strCache>
            </c:strRef>
          </c:tx>
          <c:marker>
            <c:symbol val="none"/>
          </c:marker>
          <c:xVal>
            <c:numRef>
              <c:f>Folha16!$K$2:$K$25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Folha16!$R$2:$R$25</c:f>
            </c:numRef>
          </c:yVal>
          <c:smooth val="1"/>
        </c:ser>
        <c:ser>
          <c:idx val="7"/>
          <c:order val="7"/>
          <c:tx>
            <c:strRef>
              <c:f>Folha16!$S$1</c:f>
              <c:strCache>
                <c:ptCount val="1"/>
                <c:pt idx="0">
                  <c:v>IDE % PIB</c:v>
                </c:pt>
              </c:strCache>
            </c:strRef>
          </c:tx>
          <c:marker>
            <c:symbol val="none"/>
          </c:marker>
          <c:xVal>
            <c:numRef>
              <c:f>Folha16!$K$2:$K$25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Folha16!$S$2:$S$25</c:f>
              <c:numCache>
                <c:formatCode>0.0</c:formatCode>
                <c:ptCount val="24"/>
                <c:pt idx="1">
                  <c:v>0</c:v>
                </c:pt>
                <c:pt idx="2">
                  <c:v>2.9398148148148127</c:v>
                </c:pt>
                <c:pt idx="3">
                  <c:v>8.8888888888888893</c:v>
                </c:pt>
                <c:pt idx="4">
                  <c:v>1.9596864501679732</c:v>
                </c:pt>
                <c:pt idx="5">
                  <c:v>4.1758241758241814</c:v>
                </c:pt>
                <c:pt idx="6">
                  <c:v>5.3452115812917596</c:v>
                </c:pt>
                <c:pt idx="7">
                  <c:v>0.91116173120728938</c:v>
                </c:pt>
                <c:pt idx="8">
                  <c:v>7.608695652173914</c:v>
                </c:pt>
                <c:pt idx="9">
                  <c:v>6.369426751592357</c:v>
                </c:pt>
                <c:pt idx="10">
                  <c:v>8.2073434125269973</c:v>
                </c:pt>
                <c:pt idx="11">
                  <c:v>6.9182389937107134</c:v>
                </c:pt>
                <c:pt idx="12">
                  <c:v>3.9045553145336167</c:v>
                </c:pt>
                <c:pt idx="13">
                  <c:v>3.6016949152542366</c:v>
                </c:pt>
                <c:pt idx="14">
                  <c:v>3.2258064516129052</c:v>
                </c:pt>
                <c:pt idx="15">
                  <c:v>5.3913043478260745</c:v>
                </c:pt>
                <c:pt idx="16">
                  <c:v>20.324005891016231</c:v>
                </c:pt>
                <c:pt idx="17">
                  <c:v>15.013586956521902</c:v>
                </c:pt>
                <c:pt idx="18">
                  <c:v>31.239669421487605</c:v>
                </c:pt>
                <c:pt idx="19">
                  <c:v>7.7862595419847533</c:v>
                </c:pt>
                <c:pt idx="20">
                  <c:v>25.224775224775222</c:v>
                </c:pt>
                <c:pt idx="21">
                  <c:v>13.752535496957424</c:v>
                </c:pt>
                <c:pt idx="22">
                  <c:v>8.4544758990054767</c:v>
                </c:pt>
                <c:pt idx="23">
                  <c:v>9.581032802858072</c:v>
                </c:pt>
              </c:numCache>
            </c:numRef>
          </c:yVal>
          <c:smooth val="1"/>
        </c:ser>
        <c:axId val="114740608"/>
        <c:axId val="114746496"/>
      </c:scatterChart>
      <c:valAx>
        <c:axId val="114740608"/>
        <c:scaling>
          <c:orientation val="minMax"/>
        </c:scaling>
        <c:axPos val="b"/>
        <c:numFmt formatCode="General" sourceLinked="1"/>
        <c:tickLblPos val="nextTo"/>
        <c:crossAx val="114746496"/>
        <c:crosses val="autoZero"/>
        <c:crossBetween val="midCat"/>
      </c:valAx>
      <c:valAx>
        <c:axId val="114746496"/>
        <c:scaling>
          <c:orientation val="minMax"/>
        </c:scaling>
        <c:axPos val="l"/>
        <c:majorGridlines/>
        <c:numFmt formatCode="General" sourceLinked="1"/>
        <c:tickLblPos val="nextTo"/>
        <c:crossAx val="114740608"/>
        <c:crosses val="autoZero"/>
        <c:crossBetween val="midCat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/>
          <a:lstStyle/>
          <a:p>
            <a:pPr>
              <a:defRPr/>
            </a:pPr>
            <a:r>
              <a:rPr lang="en-US" sz="800" b="1" i="0" u="none" strike="noStrike" baseline="0">
                <a:latin typeface="Times New Roman" pitchFamily="18" charset="0"/>
                <a:cs typeface="Times New Roman" pitchFamily="18" charset="0"/>
              </a:rPr>
              <a:t>S. Tomé e Príncipe: T. Oficiais em percentagem do PIB</a:t>
            </a:r>
            <a:endParaRPr lang="en-US" sz="8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Folha20!$B$1</c:f>
              <c:strCache>
                <c:ptCount val="1"/>
                <c:pt idx="0">
                  <c:v>REMESSAS </c:v>
                </c:pt>
              </c:strCache>
            </c:strRef>
          </c:tx>
          <c:marker>
            <c:symbol val="none"/>
          </c:marker>
          <c:xVal>
            <c:numRef>
              <c:f>Folha20!$A$2:$A$25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Folha20!$B$2:$B$25</c:f>
            </c:numRef>
          </c:yVal>
          <c:smooth val="1"/>
        </c:ser>
        <c:ser>
          <c:idx val="1"/>
          <c:order val="1"/>
          <c:tx>
            <c:strRef>
              <c:f>Folha20!$C$1</c:f>
              <c:strCache>
                <c:ptCount val="1"/>
                <c:pt idx="0">
                  <c:v>IDE</c:v>
                </c:pt>
              </c:strCache>
            </c:strRef>
          </c:tx>
          <c:xVal>
            <c:numRef>
              <c:f>Folha20!$A$2:$A$25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Folha20!$C$2:$C$25</c:f>
            </c:numRef>
          </c:yVal>
          <c:smooth val="1"/>
        </c:ser>
        <c:ser>
          <c:idx val="2"/>
          <c:order val="2"/>
          <c:tx>
            <c:strRef>
              <c:f>Folha20!$D$1</c:f>
              <c:strCache>
                <c:ptCount val="1"/>
                <c:pt idx="0">
                  <c:v>TRANSF. OFICIAIS </c:v>
                </c:pt>
              </c:strCache>
            </c:strRef>
          </c:tx>
          <c:xVal>
            <c:numRef>
              <c:f>Folha20!$A$2:$A$25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Folha20!$D$2:$D$25</c:f>
            </c:numRef>
          </c:yVal>
          <c:smooth val="1"/>
        </c:ser>
        <c:ser>
          <c:idx val="3"/>
          <c:order val="3"/>
          <c:tx>
            <c:strRef>
              <c:f>Folha20!$E$1</c:f>
              <c:strCache>
                <c:ptCount val="1"/>
                <c:pt idx="0">
                  <c:v>PIB per capita</c:v>
                </c:pt>
              </c:strCache>
            </c:strRef>
          </c:tx>
          <c:xVal>
            <c:numRef>
              <c:f>Folha20!$A$2:$A$25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Folha20!$E$2:$E$25</c:f>
            </c:numRef>
          </c:yVal>
          <c:smooth val="1"/>
        </c:ser>
        <c:ser>
          <c:idx val="4"/>
          <c:order val="4"/>
          <c:tx>
            <c:strRef>
              <c:f>Folha20!$F$1</c:f>
              <c:strCache>
                <c:ptCount val="1"/>
                <c:pt idx="0">
                  <c:v>PIBpc</c:v>
                </c:pt>
              </c:strCache>
            </c:strRef>
          </c:tx>
          <c:xVal>
            <c:numRef>
              <c:f>Folha20!$A$2:$A$25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Folha20!$F$2:$F$25</c:f>
            </c:numRef>
          </c:yVal>
          <c:smooth val="1"/>
        </c:ser>
        <c:ser>
          <c:idx val="5"/>
          <c:order val="5"/>
          <c:tx>
            <c:strRef>
              <c:f>Folha20!$G$1</c:f>
              <c:strCache>
                <c:ptCount val="1"/>
                <c:pt idx="0">
                  <c:v>Pop. Total</c:v>
                </c:pt>
              </c:strCache>
            </c:strRef>
          </c:tx>
          <c:xVal>
            <c:numRef>
              <c:f>Folha20!$A$2:$A$25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Folha20!$G$2:$G$25</c:f>
            </c:numRef>
          </c:yVal>
          <c:smooth val="1"/>
        </c:ser>
        <c:ser>
          <c:idx val="6"/>
          <c:order val="6"/>
          <c:tx>
            <c:strRef>
              <c:f>Folha20!$H$1</c:f>
              <c:strCache>
                <c:ptCount val="1"/>
                <c:pt idx="0">
                  <c:v>Rem % PIB</c:v>
                </c:pt>
              </c:strCache>
            </c:strRef>
          </c:tx>
          <c:xVal>
            <c:numRef>
              <c:f>Folha20!$A$2:$A$25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Folha20!$H$2:$H$25</c:f>
            </c:numRef>
          </c:yVal>
          <c:smooth val="1"/>
        </c:ser>
        <c:ser>
          <c:idx val="7"/>
          <c:order val="7"/>
          <c:tx>
            <c:strRef>
              <c:f>Folha20!$I$1</c:f>
              <c:strCache>
                <c:ptCount val="1"/>
                <c:pt idx="0">
                  <c:v>IDE % PIB</c:v>
                </c:pt>
              </c:strCache>
            </c:strRef>
          </c:tx>
          <c:xVal>
            <c:numRef>
              <c:f>Folha20!$A$2:$A$25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Folha20!$I$2:$I$25</c:f>
            </c:numRef>
          </c:yVal>
          <c:smooth val="1"/>
        </c:ser>
        <c:ser>
          <c:idx val="8"/>
          <c:order val="8"/>
          <c:tx>
            <c:strRef>
              <c:f>Folha20!$J$1</c:f>
              <c:strCache>
                <c:ptCount val="1"/>
                <c:pt idx="0">
                  <c:v>T. O. % PIB</c:v>
                </c:pt>
              </c:strCache>
            </c:strRef>
          </c:tx>
          <c:marker>
            <c:symbol val="none"/>
          </c:marker>
          <c:xVal>
            <c:numRef>
              <c:f>Folha20!$A$2:$A$25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xVal>
          <c:yVal>
            <c:numRef>
              <c:f>Folha20!$J$2:$J$25</c:f>
              <c:numCache>
                <c:formatCode>0.0</c:formatCode>
                <c:ptCount val="24"/>
                <c:pt idx="1">
                  <c:v>21.641791044776117</c:v>
                </c:pt>
                <c:pt idx="2">
                  <c:v>32.175925925926457</c:v>
                </c:pt>
                <c:pt idx="3">
                  <c:v>22.666666666666664</c:v>
                </c:pt>
                <c:pt idx="4">
                  <c:v>15.229563269876818</c:v>
                </c:pt>
                <c:pt idx="5">
                  <c:v>49.890109890110011</c:v>
                </c:pt>
                <c:pt idx="6">
                  <c:v>48.106904231625862</c:v>
                </c:pt>
                <c:pt idx="7">
                  <c:v>71.298405466970394</c:v>
                </c:pt>
                <c:pt idx="8">
                  <c:v>24.094202898550723</c:v>
                </c:pt>
                <c:pt idx="9">
                  <c:v>31.847133757961782</c:v>
                </c:pt>
                <c:pt idx="10">
                  <c:v>34.341252699783944</c:v>
                </c:pt>
                <c:pt idx="11">
                  <c:v>37.735849056603755</c:v>
                </c:pt>
                <c:pt idx="12">
                  <c:v>17.028199566160183</c:v>
                </c:pt>
                <c:pt idx="13">
                  <c:v>21.292372881355515</c:v>
                </c:pt>
                <c:pt idx="14">
                  <c:v>21.198156682027626</c:v>
                </c:pt>
                <c:pt idx="15">
                  <c:v>29.130434782608695</c:v>
                </c:pt>
                <c:pt idx="16">
                  <c:v>0.5891016200294551</c:v>
                </c:pt>
                <c:pt idx="17">
                  <c:v>1.0190217391304204</c:v>
                </c:pt>
                <c:pt idx="18">
                  <c:v>1.5977961432506878</c:v>
                </c:pt>
                <c:pt idx="19">
                  <c:v>2.8498727735368927</c:v>
                </c:pt>
                <c:pt idx="20">
                  <c:v>2.9970029970029972</c:v>
                </c:pt>
                <c:pt idx="21">
                  <c:v>3.8945233265720081</c:v>
                </c:pt>
                <c:pt idx="22">
                  <c:v>3.519510328997705</c:v>
                </c:pt>
                <c:pt idx="23">
                  <c:v>4.3845404352062367</c:v>
                </c:pt>
              </c:numCache>
            </c:numRef>
          </c:yVal>
          <c:smooth val="1"/>
        </c:ser>
        <c:axId val="110930944"/>
        <c:axId val="110936832"/>
      </c:scatterChart>
      <c:valAx>
        <c:axId val="110930944"/>
        <c:scaling>
          <c:orientation val="minMax"/>
        </c:scaling>
        <c:axPos val="b"/>
        <c:numFmt formatCode="General" sourceLinked="1"/>
        <c:tickLblPos val="nextTo"/>
        <c:crossAx val="110936832"/>
        <c:crosses val="autoZero"/>
        <c:crossBetween val="midCat"/>
      </c:valAx>
      <c:valAx>
        <c:axId val="110936832"/>
        <c:scaling>
          <c:orientation val="minMax"/>
        </c:scaling>
        <c:axPos val="l"/>
        <c:majorGridlines/>
        <c:numFmt formatCode="General" sourceLinked="1"/>
        <c:tickLblPos val="nextTo"/>
        <c:crossAx val="110930944"/>
        <c:crosses val="autoZero"/>
        <c:crossBetween val="midCat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0.8583</cdr:x>
      <cdr:y>0.34544</cdr:y>
    </cdr:from>
    <cdr:to>
      <cdr:x>0.98845</cdr:x>
      <cdr:y>0.47033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4634837" y="887104"/>
          <a:ext cx="702859" cy="320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PT" sz="1100"/>
        </a:p>
      </cdr:txBody>
    </cdr:sp>
  </cdr:relSizeAnchor>
  <cdr:relSizeAnchor xmlns:cdr="http://schemas.openxmlformats.org/drawingml/2006/chartDrawing">
    <cdr:from>
      <cdr:x>0.85451</cdr:x>
      <cdr:y>0.36404</cdr:y>
    </cdr:from>
    <cdr:to>
      <cdr:x>1</cdr:x>
      <cdr:y>0.46502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4614364" y="934872"/>
          <a:ext cx="785675" cy="2593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Remessas</a:t>
          </a:r>
        </a:p>
      </cdr:txBody>
    </cdr:sp>
  </cdr:relSizeAnchor>
  <cdr:relSizeAnchor xmlns:cdr="http://schemas.openxmlformats.org/drawingml/2006/chartDrawing">
    <cdr:from>
      <cdr:x>0.86082</cdr:x>
      <cdr:y>0.66165</cdr:y>
    </cdr:from>
    <cdr:to>
      <cdr:x>0.9973</cdr:x>
      <cdr:y>0.75465</cdr:y>
    </cdr:to>
    <cdr:sp macro="" textlink="">
      <cdr:nvSpPr>
        <cdr:cNvPr id="4" name="CaixaDeTexto 3"/>
        <cdr:cNvSpPr txBox="1"/>
      </cdr:nvSpPr>
      <cdr:spPr>
        <a:xfrm xmlns:a="http://schemas.openxmlformats.org/drawingml/2006/main">
          <a:off x="4648484" y="1699147"/>
          <a:ext cx="736980" cy="238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T. oficiais</a:t>
          </a:r>
        </a:p>
      </cdr:txBody>
    </cdr:sp>
  </cdr:relSizeAnchor>
  <cdr:relSizeAnchor xmlns:cdr="http://schemas.openxmlformats.org/drawingml/2006/chartDrawing">
    <cdr:from>
      <cdr:x>0.85703</cdr:x>
      <cdr:y>0.77591</cdr:y>
    </cdr:from>
    <cdr:to>
      <cdr:x>0.98845</cdr:x>
      <cdr:y>0.86094</cdr:y>
    </cdr:to>
    <cdr:sp macro="" textlink="">
      <cdr:nvSpPr>
        <cdr:cNvPr id="5" name="CaixaDeTexto 4"/>
        <cdr:cNvSpPr txBox="1"/>
      </cdr:nvSpPr>
      <cdr:spPr>
        <a:xfrm xmlns:a="http://schemas.openxmlformats.org/drawingml/2006/main">
          <a:off x="4628013" y="1992574"/>
          <a:ext cx="709683" cy="2183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IDE</a:t>
          </a:r>
          <a:endParaRPr lang="pt-PT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0.21336</cdr:x>
      <cdr:y>0.04045</cdr:y>
    </cdr:from>
    <cdr:to>
      <cdr:x>0.94935</cdr:x>
      <cdr:y>0.12135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977237" y="122830"/>
          <a:ext cx="3370997" cy="245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PT" sz="1100"/>
        </a:p>
      </cdr:txBody>
    </cdr:sp>
  </cdr:relSizeAnchor>
  <cdr:relSizeAnchor xmlns:cdr="http://schemas.openxmlformats.org/drawingml/2006/chartDrawing">
    <cdr:from>
      <cdr:x>0.19995</cdr:x>
      <cdr:y>0.03371</cdr:y>
    </cdr:from>
    <cdr:to>
      <cdr:x>0.92402</cdr:x>
      <cdr:y>0.13933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915822" y="102358"/>
          <a:ext cx="3316406" cy="3207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t-PT" sz="800">
              <a:latin typeface="Times New Roman" pitchFamily="18" charset="0"/>
              <a:ea typeface="+mn-ea"/>
              <a:cs typeface="Times New Roman" pitchFamily="18" charset="0"/>
            </a:rPr>
            <a:t>Cabo Verde: PIBpc e Remessas em Milhões de $USD</a:t>
          </a:r>
        </a:p>
      </cdr:txBody>
    </cdr:sp>
  </cdr:relSizeAnchor>
  <cdr:relSizeAnchor xmlns:cdr="http://schemas.openxmlformats.org/drawingml/2006/chartDrawing">
    <cdr:from>
      <cdr:x>0.62452</cdr:x>
      <cdr:y>0.18652</cdr:y>
    </cdr:from>
    <cdr:to>
      <cdr:x>0.8711</cdr:x>
      <cdr:y>0.31343</cdr:y>
    </cdr:to>
    <cdr:sp macro="" textlink="">
      <cdr:nvSpPr>
        <cdr:cNvPr id="4" name="CaixaDeTexto 3"/>
        <cdr:cNvSpPr txBox="1"/>
      </cdr:nvSpPr>
      <cdr:spPr>
        <a:xfrm xmlns:a="http://schemas.openxmlformats.org/drawingml/2006/main">
          <a:off x="3146627" y="403078"/>
          <a:ext cx="1242362" cy="2742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PIBpc, Milhões $USD</a:t>
          </a:r>
        </a:p>
      </cdr:txBody>
    </cdr:sp>
  </cdr:relSizeAnchor>
  <cdr:relSizeAnchor xmlns:cdr="http://schemas.openxmlformats.org/drawingml/2006/chartDrawing">
    <cdr:from>
      <cdr:x>0.62805</cdr:x>
      <cdr:y>0.75746</cdr:y>
    </cdr:from>
    <cdr:to>
      <cdr:x>0.85251</cdr:x>
      <cdr:y>0.8764</cdr:y>
    </cdr:to>
    <cdr:sp macro="" textlink="">
      <cdr:nvSpPr>
        <cdr:cNvPr id="6" name="CaixaDeTexto 5"/>
        <cdr:cNvSpPr txBox="1"/>
      </cdr:nvSpPr>
      <cdr:spPr>
        <a:xfrm xmlns:a="http://schemas.openxmlformats.org/drawingml/2006/main">
          <a:off x="2877897" y="1642683"/>
          <a:ext cx="1028549" cy="257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Rem., </a:t>
          </a:r>
          <a:r>
            <a:rPr lang="pt-PT" sz="800" baseline="0">
              <a:latin typeface="Times New Roman" pitchFamily="18" charset="0"/>
              <a:cs typeface="Times New Roman" pitchFamily="18" charset="0"/>
            </a:rPr>
            <a:t>Milhões $USD</a:t>
          </a:r>
          <a:endParaRPr lang="pt-PT" sz="8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0.15831</cdr:x>
      <cdr:y>0.05145</cdr:y>
    </cdr:from>
    <cdr:to>
      <cdr:x>0.9373</cdr:x>
      <cdr:y>0.16005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779344" y="122829"/>
          <a:ext cx="3835021" cy="259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PT" sz="800">
              <a:latin typeface="Times New Roman" pitchFamily="18" charset="0"/>
              <a:ea typeface="+mn-ea"/>
              <a:cs typeface="Times New Roman" pitchFamily="18" charset="0"/>
            </a:rPr>
            <a:t>S. Tomé e Príncipe: Remessas, IDE e T. Oficiais em Milhões de $USD</a:t>
          </a:r>
        </a:p>
        <a:p xmlns:a="http://schemas.openxmlformats.org/drawingml/2006/main">
          <a:endParaRPr lang="pt-PT" sz="1100"/>
        </a:p>
      </cdr:txBody>
    </cdr:sp>
  </cdr:relSizeAnchor>
  <cdr:relSizeAnchor xmlns:cdr="http://schemas.openxmlformats.org/drawingml/2006/chartDrawing">
    <cdr:from>
      <cdr:x>0.65886</cdr:x>
      <cdr:y>0.40449</cdr:y>
    </cdr:from>
    <cdr:to>
      <cdr:x>0.91586</cdr:x>
      <cdr:y>0.48578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3066652" y="903397"/>
          <a:ext cx="1196213" cy="1815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IDE, Milhões $USD</a:t>
          </a:r>
        </a:p>
      </cdr:txBody>
    </cdr:sp>
  </cdr:relSizeAnchor>
  <cdr:relSizeAnchor xmlns:cdr="http://schemas.openxmlformats.org/drawingml/2006/chartDrawing">
    <cdr:from>
      <cdr:x>0.69773</cdr:x>
      <cdr:y>0.51643</cdr:y>
    </cdr:from>
    <cdr:to>
      <cdr:x>0.94973</cdr:x>
      <cdr:y>0.61446</cdr:y>
    </cdr:to>
    <cdr:sp macro="" textlink="">
      <cdr:nvSpPr>
        <cdr:cNvPr id="4" name="CaixaDeTexto 3"/>
        <cdr:cNvSpPr txBox="1"/>
      </cdr:nvSpPr>
      <cdr:spPr>
        <a:xfrm xmlns:a="http://schemas.openxmlformats.org/drawingml/2006/main">
          <a:off x="3247567" y="1153396"/>
          <a:ext cx="1172953" cy="218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Rem,</a:t>
          </a:r>
          <a:r>
            <a:rPr lang="pt-PT" sz="800" baseline="0">
              <a:latin typeface="Times New Roman" pitchFamily="18" charset="0"/>
              <a:cs typeface="Times New Roman" pitchFamily="18" charset="0"/>
            </a:rPr>
            <a:t> Milhões $USD</a:t>
          </a:r>
          <a:endParaRPr lang="pt-PT" sz="8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0.68689</cdr:x>
      <cdr:y>0.62641</cdr:y>
    </cdr:from>
    <cdr:to>
      <cdr:x>0.96312</cdr:x>
      <cdr:y>0.75074</cdr:y>
    </cdr:to>
    <cdr:sp macro="" textlink="">
      <cdr:nvSpPr>
        <cdr:cNvPr id="5" name="CaixaDeTexto 4"/>
        <cdr:cNvSpPr txBox="1"/>
      </cdr:nvSpPr>
      <cdr:spPr>
        <a:xfrm xmlns:a="http://schemas.openxmlformats.org/drawingml/2006/main">
          <a:off x="3197116" y="1399025"/>
          <a:ext cx="1285709" cy="2776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T. oficiais, Milhões $USD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0.17465</cdr:x>
      <cdr:y>0.04202</cdr:y>
    </cdr:from>
    <cdr:to>
      <cdr:x>0.92527</cdr:x>
      <cdr:y>0.14708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943117" y="136477"/>
          <a:ext cx="4053385" cy="3411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PT" sz="800" b="1">
              <a:latin typeface="Times New Roman" pitchFamily="18" charset="0"/>
              <a:ea typeface="+mn-ea"/>
              <a:cs typeface="Times New Roman" pitchFamily="18" charset="0"/>
            </a:rPr>
            <a:t>S. Tomé e Príncipe: PIBpc e Remessas, em Milhões de $USD </a:t>
          </a:r>
          <a:endParaRPr lang="pt-PT" sz="800"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pt-PT" sz="1100"/>
        </a:p>
      </cdr:txBody>
    </cdr:sp>
  </cdr:relSizeAnchor>
  <cdr:relSizeAnchor xmlns:cdr="http://schemas.openxmlformats.org/drawingml/2006/chartDrawing">
    <cdr:from>
      <cdr:x>0.76605</cdr:x>
      <cdr:y>0.20802</cdr:y>
    </cdr:from>
    <cdr:to>
      <cdr:x>0.93033</cdr:x>
      <cdr:y>0.28576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4136693" y="675564"/>
          <a:ext cx="887105" cy="2524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PIBpc</a:t>
          </a:r>
        </a:p>
      </cdr:txBody>
    </cdr:sp>
  </cdr:relSizeAnchor>
  <cdr:relSizeAnchor xmlns:cdr="http://schemas.openxmlformats.org/drawingml/2006/chartDrawing">
    <cdr:from>
      <cdr:x>0.74962</cdr:x>
      <cdr:y>0.80685</cdr:y>
    </cdr:from>
    <cdr:to>
      <cdr:x>0.89494</cdr:x>
      <cdr:y>0.8825</cdr:y>
    </cdr:to>
    <cdr:sp macro="" textlink="">
      <cdr:nvSpPr>
        <cdr:cNvPr id="4" name="CaixaDeTexto 3"/>
        <cdr:cNvSpPr txBox="1"/>
      </cdr:nvSpPr>
      <cdr:spPr>
        <a:xfrm xmlns:a="http://schemas.openxmlformats.org/drawingml/2006/main">
          <a:off x="4047984" y="2620370"/>
          <a:ext cx="784745" cy="245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Remessas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0.07286</cdr:x>
      <cdr:y>0.06437</cdr:y>
    </cdr:from>
    <cdr:to>
      <cdr:x>0.92456</cdr:x>
      <cdr:y>0.14713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363087" y="191069"/>
          <a:ext cx="4244454" cy="245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t-PT" sz="800">
              <a:latin typeface="Times New Roman" pitchFamily="18" charset="0"/>
              <a:cs typeface="Times New Roman" pitchFamily="18" charset="0"/>
            </a:rPr>
            <a:t>Remessas em percentagem do PIB, em Cabo Verde e em S. Tomé e Príncipe</a:t>
          </a:r>
        </a:p>
      </cdr:txBody>
    </cdr:sp>
  </cdr:relSizeAnchor>
  <cdr:relSizeAnchor xmlns:cdr="http://schemas.openxmlformats.org/drawingml/2006/chartDrawing">
    <cdr:from>
      <cdr:x>0.64425</cdr:x>
      <cdr:y>0.60194</cdr:y>
    </cdr:from>
    <cdr:to>
      <cdr:x>0.91292</cdr:x>
      <cdr:y>0.66505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3174526" y="1692323"/>
          <a:ext cx="1323833" cy="1774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PT" sz="1100"/>
        </a:p>
      </cdr:txBody>
    </cdr:sp>
  </cdr:relSizeAnchor>
  <cdr:relSizeAnchor xmlns:cdr="http://schemas.openxmlformats.org/drawingml/2006/chartDrawing">
    <cdr:from>
      <cdr:x>0.68484</cdr:x>
      <cdr:y>0.64931</cdr:y>
    </cdr:from>
    <cdr:to>
      <cdr:x>0.91568</cdr:x>
      <cdr:y>0.76736</cdr:y>
    </cdr:to>
    <cdr:sp macro="" textlink="">
      <cdr:nvSpPr>
        <cdr:cNvPr id="4" name="CaixaDeTexto 3"/>
        <cdr:cNvSpPr txBox="1"/>
      </cdr:nvSpPr>
      <cdr:spPr>
        <a:xfrm xmlns:a="http://schemas.openxmlformats.org/drawingml/2006/main">
          <a:off x="3622365" y="1513211"/>
          <a:ext cx="1220963" cy="2751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STP Rem % PIB</a:t>
          </a:r>
        </a:p>
      </cdr:txBody>
    </cdr:sp>
  </cdr:relSizeAnchor>
  <cdr:relSizeAnchor xmlns:cdr="http://schemas.openxmlformats.org/drawingml/2006/chartDrawing">
    <cdr:from>
      <cdr:x>0.6772</cdr:x>
      <cdr:y>0.45833</cdr:y>
    </cdr:from>
    <cdr:to>
      <cdr:x>0.85466</cdr:x>
      <cdr:y>0.58981</cdr:y>
    </cdr:to>
    <cdr:sp macro="" textlink="">
      <cdr:nvSpPr>
        <cdr:cNvPr id="5" name="CaixaDeTexto 4"/>
        <cdr:cNvSpPr txBox="1"/>
      </cdr:nvSpPr>
      <cdr:spPr>
        <a:xfrm xmlns:a="http://schemas.openxmlformats.org/drawingml/2006/main">
          <a:off x="3581905" y="1068149"/>
          <a:ext cx="938677" cy="306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PT" sz="800">
              <a:latin typeface="Times New Roman" pitchFamily="18" charset="0"/>
              <a:cs typeface="Times New Roman" pitchFamily="18" charset="0"/>
            </a:rPr>
            <a:t>CV Rem % PIB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6927</Characters>
  <Application>Microsoft Office Word</Application>
  <DocSecurity>0</DocSecurity>
  <Lines>57</Lines>
  <Paragraphs>16</Paragraphs>
  <ScaleCrop>false</ScaleCrop>
  <Company>POLICIA JUDICIARIA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Abel</cp:lastModifiedBy>
  <cp:revision>2</cp:revision>
  <dcterms:created xsi:type="dcterms:W3CDTF">2015-10-06T22:09:00Z</dcterms:created>
  <dcterms:modified xsi:type="dcterms:W3CDTF">2015-10-06T22:09:00Z</dcterms:modified>
</cp:coreProperties>
</file>