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0F" w:rsidRPr="009E5B8A" w:rsidRDefault="00174E0F" w:rsidP="00174E0F">
      <w:pPr>
        <w:tabs>
          <w:tab w:val="left" w:pos="5220"/>
        </w:tabs>
        <w:spacing w:line="240" w:lineRule="auto"/>
        <w:rPr>
          <w:b/>
          <w:color w:val="1F3864" w:themeColor="accent1" w:themeShade="80"/>
        </w:rPr>
      </w:pPr>
      <w:r w:rsidRPr="009E5B8A">
        <w:rPr>
          <w:b/>
          <w:noProof/>
          <w:color w:val="1F3864" w:themeColor="accent1" w:themeShade="80"/>
          <w:sz w:val="20"/>
          <w:lang w:val="fr-FR" w:eastAsia="fr-FR"/>
        </w:rPr>
        <w:drawing>
          <wp:anchor distT="0" distB="0" distL="114300" distR="114300" simplePos="0" relativeHeight="251659264" behindDoc="0" locked="0" layoutInCell="1" allowOverlap="1" wp14:anchorId="1DF6A237" wp14:editId="19B9E8D5">
            <wp:simplePos x="0" y="0"/>
            <wp:positionH relativeFrom="column">
              <wp:posOffset>2680970</wp:posOffset>
            </wp:positionH>
            <wp:positionV relativeFrom="paragraph">
              <wp:posOffset>231140</wp:posOffset>
            </wp:positionV>
            <wp:extent cx="537004" cy="463378"/>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7004" cy="463378"/>
                    </a:xfrm>
                    <a:prstGeom prst="rect">
                      <a:avLst/>
                    </a:prstGeom>
                    <a:noFill/>
                  </pic:spPr>
                </pic:pic>
              </a:graphicData>
            </a:graphic>
          </wp:anchor>
        </w:drawing>
      </w:r>
      <w:r w:rsidRPr="009E5B8A">
        <w:rPr>
          <w:b/>
          <w:color w:val="1F3864" w:themeColor="accent1" w:themeShade="80"/>
        </w:rPr>
        <w:tab/>
      </w:r>
    </w:p>
    <w:p w:rsidR="00174E0F" w:rsidRPr="009E5B8A" w:rsidRDefault="00174E0F" w:rsidP="00174E0F">
      <w:pPr>
        <w:pStyle w:val="Ttulo1"/>
        <w:jc w:val="center"/>
        <w:rPr>
          <w:b/>
          <w:color w:val="1F3864" w:themeColor="accent1" w:themeShade="80"/>
        </w:rPr>
      </w:pPr>
      <w:r w:rsidRPr="009E5B8A">
        <w:rPr>
          <w:b/>
          <w:color w:val="1F3864" w:themeColor="accent1" w:themeShade="80"/>
        </w:rPr>
        <w:t>República Democrática           de São Tomé e Príncipe</w:t>
      </w:r>
    </w:p>
    <w:p w:rsidR="00174E0F" w:rsidRPr="00177611" w:rsidRDefault="00174E0F" w:rsidP="00174E0F">
      <w:pPr>
        <w:rPr>
          <w:b/>
          <w:color w:val="1F3864" w:themeColor="accent1" w:themeShade="80"/>
          <w:sz w:val="16"/>
          <w:szCs w:val="16"/>
        </w:rPr>
      </w:pPr>
    </w:p>
    <w:p w:rsidR="00174E0F" w:rsidRPr="00DD440C" w:rsidRDefault="00174E0F" w:rsidP="00174E0F">
      <w:pPr>
        <w:pStyle w:val="Subttulo"/>
        <w:rPr>
          <w:b/>
          <w:color w:val="1F3864" w:themeColor="accent1" w:themeShade="80"/>
          <w:sz w:val="26"/>
          <w:szCs w:val="26"/>
        </w:rPr>
      </w:pPr>
      <w:r w:rsidRPr="00DD440C">
        <w:rPr>
          <w:b/>
          <w:color w:val="1F3864" w:themeColor="accent1" w:themeShade="80"/>
          <w:sz w:val="26"/>
          <w:szCs w:val="26"/>
        </w:rPr>
        <w:t xml:space="preserve">MINISTÉRIO </w:t>
      </w:r>
      <w:r>
        <w:rPr>
          <w:b/>
          <w:color w:val="1F3864" w:themeColor="accent1" w:themeShade="80"/>
          <w:sz w:val="26"/>
          <w:szCs w:val="26"/>
        </w:rPr>
        <w:t xml:space="preserve">DOPLANEAMENTO, </w:t>
      </w:r>
      <w:r w:rsidRPr="00DD440C">
        <w:rPr>
          <w:b/>
          <w:color w:val="1F3864" w:themeColor="accent1" w:themeShade="80"/>
          <w:sz w:val="26"/>
          <w:szCs w:val="26"/>
        </w:rPr>
        <w:t>FINANÇAS E ECONOMIA AZUL</w:t>
      </w:r>
    </w:p>
    <w:p w:rsidR="00174E0F" w:rsidRPr="009E5B8A" w:rsidRDefault="00174E0F" w:rsidP="00174E0F">
      <w:pPr>
        <w:jc w:val="center"/>
        <w:rPr>
          <w:b/>
          <w:color w:val="1F3864" w:themeColor="accent1" w:themeShade="80"/>
          <w:sz w:val="20"/>
        </w:rPr>
      </w:pPr>
      <w:r w:rsidRPr="009E5B8A">
        <w:rPr>
          <w:b/>
          <w:color w:val="1F3864" w:themeColor="accent1" w:themeShade="80"/>
          <w:sz w:val="20"/>
        </w:rPr>
        <w:t>(Unidade – Disciplina – Trabalho)</w:t>
      </w:r>
    </w:p>
    <w:p w:rsidR="00174E0F" w:rsidRPr="009E5B8A" w:rsidRDefault="00174E0F" w:rsidP="00174E0F">
      <w:pPr>
        <w:spacing w:after="0" w:line="240" w:lineRule="auto"/>
        <w:jc w:val="center"/>
        <w:rPr>
          <w:b/>
          <w:color w:val="1F3864" w:themeColor="accent1" w:themeShade="80"/>
          <w:sz w:val="40"/>
          <w:szCs w:val="40"/>
        </w:rPr>
      </w:pPr>
      <w:r w:rsidRPr="009E5B8A">
        <w:rPr>
          <w:b/>
          <w:color w:val="1F3864" w:themeColor="accent1" w:themeShade="80"/>
          <w:sz w:val="40"/>
          <w:szCs w:val="40"/>
        </w:rPr>
        <w:t>Agência Fiduciária e de Administração de Projetos</w:t>
      </w:r>
    </w:p>
    <w:p w:rsidR="00174E0F" w:rsidRPr="00DD440C" w:rsidRDefault="00174E0F" w:rsidP="00174E0F">
      <w:pPr>
        <w:spacing w:after="0" w:line="240" w:lineRule="auto"/>
        <w:jc w:val="center"/>
        <w:rPr>
          <w:b/>
          <w:color w:val="1F3864" w:themeColor="accent1" w:themeShade="80"/>
          <w:sz w:val="44"/>
          <w:szCs w:val="44"/>
        </w:rPr>
      </w:pPr>
      <w:r w:rsidRPr="00DD440C">
        <w:rPr>
          <w:b/>
          <w:color w:val="1F3864" w:themeColor="accent1" w:themeShade="80"/>
          <w:sz w:val="44"/>
          <w:szCs w:val="44"/>
        </w:rPr>
        <w:t xml:space="preserve">Projeto </w:t>
      </w:r>
      <w:r>
        <w:rPr>
          <w:b/>
          <w:color w:val="1F3864" w:themeColor="accent1" w:themeShade="80"/>
          <w:sz w:val="44"/>
          <w:szCs w:val="44"/>
        </w:rPr>
        <w:t xml:space="preserve">Reforço das Capacidades Institucionais </w:t>
      </w:r>
    </w:p>
    <w:p w:rsidR="00174E0F" w:rsidRPr="00174E0F" w:rsidRDefault="00174E0F" w:rsidP="004B4412">
      <w:pPr>
        <w:spacing w:after="150" w:line="240" w:lineRule="auto"/>
        <w:jc w:val="center"/>
        <w:rPr>
          <w:rFonts w:ascii="Times New Roman" w:eastAsia="Times New Roman" w:hAnsi="Times New Roman" w:cs="Times New Roman"/>
          <w:color w:val="374249"/>
          <w:sz w:val="26"/>
          <w:szCs w:val="26"/>
          <w:lang w:eastAsia="pt-PT"/>
        </w:rPr>
      </w:pPr>
    </w:p>
    <w:p w:rsidR="008E397E" w:rsidRPr="0056760D" w:rsidRDefault="008E397E" w:rsidP="004B4412">
      <w:pPr>
        <w:spacing w:after="150" w:line="240" w:lineRule="auto"/>
        <w:jc w:val="center"/>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REQUEST FOR EXPRESSIONS OF INTEREST</w:t>
      </w:r>
    </w:p>
    <w:p w:rsidR="008E397E" w:rsidRPr="0056760D" w:rsidRDefault="008E397E" w:rsidP="004B4412">
      <w:pPr>
        <w:spacing w:after="150" w:line="240" w:lineRule="auto"/>
        <w:jc w:val="center"/>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(CONSULTING SERVICES – FIRMS SELECTION)</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b/>
          <w:bCs/>
          <w:color w:val="374249"/>
          <w:sz w:val="26"/>
          <w:szCs w:val="26"/>
          <w:lang w:val="en-US" w:eastAsia="pt-PT"/>
        </w:rPr>
        <w:t>DEMOCRATIC REPUBLIC OF SAO TOME AND PRINCIPE</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b/>
          <w:bCs/>
          <w:color w:val="374249"/>
          <w:sz w:val="26"/>
          <w:szCs w:val="26"/>
          <w:lang w:val="en-US" w:eastAsia="pt-PT"/>
        </w:rPr>
        <w:t>INSTITUTIONAL CAPACITY BUILDING PROJECT</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Grant No.: </w:t>
      </w:r>
      <w:r w:rsidR="00E42AC7">
        <w:rPr>
          <w:rFonts w:ascii="Times New Roman" w:eastAsia="Times New Roman" w:hAnsi="Times New Roman" w:cs="Times New Roman"/>
          <w:color w:val="374249"/>
          <w:sz w:val="26"/>
          <w:szCs w:val="26"/>
          <w:lang w:val="en-US" w:eastAsia="pt-PT"/>
        </w:rPr>
        <w:t>IDA-</w:t>
      </w:r>
      <w:r w:rsidR="00E42AC7" w:rsidRPr="00E42AC7">
        <w:rPr>
          <w:rFonts w:ascii="Times New Roman" w:eastAsia="Times New Roman" w:hAnsi="Times New Roman" w:cs="Times New Roman"/>
          <w:color w:val="374249"/>
          <w:sz w:val="26"/>
          <w:szCs w:val="26"/>
          <w:lang w:val="en-US" w:eastAsia="pt-PT"/>
        </w:rPr>
        <w:t>D3080</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b/>
          <w:bCs/>
          <w:color w:val="374249"/>
          <w:sz w:val="26"/>
          <w:szCs w:val="26"/>
          <w:lang w:val="en-US" w:eastAsia="pt-PT"/>
        </w:rPr>
        <w:t xml:space="preserve">Assignment Title: </w:t>
      </w:r>
      <w:r w:rsidRPr="0056760D">
        <w:rPr>
          <w:rFonts w:ascii="Times New Roman" w:eastAsia="Times New Roman" w:hAnsi="Times New Roman" w:cs="Times New Roman"/>
          <w:color w:val="374249"/>
          <w:sz w:val="26"/>
          <w:szCs w:val="26"/>
          <w:lang w:val="en-US" w:eastAsia="pt-PT"/>
        </w:rPr>
        <w:t xml:space="preserve"> </w:t>
      </w:r>
      <w:bookmarkStart w:id="0" w:name="_GoBack"/>
      <w:r w:rsidR="00E25E0C" w:rsidRPr="0056760D">
        <w:rPr>
          <w:rFonts w:ascii="Times New Roman" w:eastAsia="Times New Roman" w:hAnsi="Times New Roman" w:cs="Times New Roman"/>
          <w:color w:val="374249"/>
          <w:sz w:val="26"/>
          <w:szCs w:val="26"/>
          <w:lang w:val="en-US" w:eastAsia="pt-PT"/>
        </w:rPr>
        <w:t xml:space="preserve">Improvement of </w:t>
      </w:r>
      <w:r w:rsidR="002617C6">
        <w:rPr>
          <w:rFonts w:ascii="Times New Roman" w:eastAsia="Times New Roman" w:hAnsi="Times New Roman" w:cs="Times New Roman"/>
          <w:color w:val="374249"/>
          <w:sz w:val="26"/>
          <w:szCs w:val="26"/>
          <w:lang w:val="en-US" w:eastAsia="pt-PT"/>
        </w:rPr>
        <w:t>the</w:t>
      </w:r>
      <w:r w:rsidR="00E25E0C" w:rsidRPr="0056760D">
        <w:rPr>
          <w:rFonts w:ascii="Times New Roman" w:eastAsia="Times New Roman" w:hAnsi="Times New Roman" w:cs="Times New Roman"/>
          <w:color w:val="374249"/>
          <w:sz w:val="26"/>
          <w:szCs w:val="26"/>
          <w:lang w:val="en-US" w:eastAsia="pt-PT"/>
        </w:rPr>
        <w:t xml:space="preserve"> Central Credit Registry Platform </w:t>
      </w:r>
      <w:r w:rsidR="002617C6">
        <w:rPr>
          <w:rFonts w:ascii="Times New Roman" w:eastAsia="Times New Roman" w:hAnsi="Times New Roman" w:cs="Times New Roman"/>
          <w:color w:val="374249"/>
          <w:sz w:val="26"/>
          <w:szCs w:val="26"/>
          <w:lang w:val="en-US" w:eastAsia="pt-PT"/>
        </w:rPr>
        <w:t>in the Central Bank of Sao Tome and Principe</w:t>
      </w:r>
      <w:bookmarkEnd w:id="0"/>
    </w:p>
    <w:p w:rsidR="008E397E" w:rsidRPr="003F2589"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3F2589">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3F2589">
        <w:rPr>
          <w:rFonts w:ascii="Times New Roman" w:eastAsia="Times New Roman" w:hAnsi="Times New Roman" w:cs="Times New Roman"/>
          <w:b/>
          <w:bCs/>
          <w:color w:val="374249"/>
          <w:sz w:val="26"/>
          <w:szCs w:val="26"/>
          <w:lang w:val="en-US" w:eastAsia="pt-PT"/>
        </w:rPr>
        <w:t>Reference No</w:t>
      </w:r>
      <w:r w:rsidRPr="003F2589">
        <w:rPr>
          <w:rFonts w:ascii="Times New Roman" w:eastAsia="Times New Roman" w:hAnsi="Times New Roman" w:cs="Times New Roman"/>
          <w:color w:val="374249"/>
          <w:sz w:val="26"/>
          <w:szCs w:val="26"/>
          <w:lang w:val="en-US" w:eastAsia="pt-PT"/>
        </w:rPr>
        <w:t xml:space="preserve">.: </w:t>
      </w:r>
      <w:r w:rsidRPr="003F2589">
        <w:rPr>
          <w:rFonts w:ascii="Times New Roman" w:eastAsia="Times New Roman" w:hAnsi="Times New Roman" w:cs="Times New Roman"/>
          <w:b/>
          <w:bCs/>
          <w:color w:val="374249"/>
          <w:sz w:val="26"/>
          <w:szCs w:val="26"/>
          <w:lang w:val="en-US" w:eastAsia="pt-PT"/>
        </w:rPr>
        <w:t>1</w:t>
      </w:r>
      <w:r w:rsidR="00E25E0C" w:rsidRPr="003F2589">
        <w:rPr>
          <w:rFonts w:ascii="Times New Roman" w:eastAsia="Times New Roman" w:hAnsi="Times New Roman" w:cs="Times New Roman"/>
          <w:b/>
          <w:bCs/>
          <w:color w:val="374249"/>
          <w:sz w:val="26"/>
          <w:szCs w:val="26"/>
          <w:lang w:val="en-US" w:eastAsia="pt-PT"/>
        </w:rPr>
        <w:t>3</w:t>
      </w:r>
      <w:r w:rsidRPr="003F2589">
        <w:rPr>
          <w:rFonts w:ascii="Times New Roman" w:eastAsia="Times New Roman" w:hAnsi="Times New Roman" w:cs="Times New Roman"/>
          <w:b/>
          <w:bCs/>
          <w:color w:val="374249"/>
          <w:sz w:val="26"/>
          <w:szCs w:val="26"/>
          <w:lang w:val="en-US" w:eastAsia="pt-PT"/>
        </w:rPr>
        <w:t>/C/ICB/201</w:t>
      </w:r>
      <w:r w:rsidR="00E25E0C" w:rsidRPr="003F2589">
        <w:rPr>
          <w:rFonts w:ascii="Times New Roman" w:eastAsia="Times New Roman" w:hAnsi="Times New Roman" w:cs="Times New Roman"/>
          <w:b/>
          <w:bCs/>
          <w:color w:val="374249"/>
          <w:sz w:val="26"/>
          <w:szCs w:val="26"/>
          <w:lang w:val="en-US" w:eastAsia="pt-PT"/>
        </w:rPr>
        <w:t>9</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The Government of the Democratic Republic of Sao Tome and Principe has received financing from the World Bank toward the cost of the Institutional Capacity Building Project, and intends to apply part of the proceeds for consulting services.</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The consulting services (“the Services”) include:</w:t>
      </w:r>
    </w:p>
    <w:p w:rsidR="00E25E0C" w:rsidRPr="00E25E0C" w:rsidRDefault="00E25E0C" w:rsidP="00E25E0C">
      <w:pPr>
        <w:tabs>
          <w:tab w:val="left" w:pos="1080"/>
        </w:tabs>
        <w:spacing w:after="0" w:line="276" w:lineRule="auto"/>
        <w:jc w:val="both"/>
        <w:rPr>
          <w:rFonts w:ascii="Times New Roman" w:hAnsi="Times New Roman" w:cs="Times New Roman"/>
          <w:sz w:val="12"/>
          <w:szCs w:val="12"/>
          <w:lang w:val="en-US"/>
        </w:rPr>
      </w:pPr>
    </w:p>
    <w:p w:rsidR="00E25E0C" w:rsidRPr="00E25E0C" w:rsidRDefault="00E25E0C" w:rsidP="00E25E0C">
      <w:pPr>
        <w:pStyle w:val="PargrafodaLista"/>
        <w:numPr>
          <w:ilvl w:val="0"/>
          <w:numId w:val="3"/>
        </w:numPr>
        <w:tabs>
          <w:tab w:val="left" w:pos="1080"/>
        </w:tabs>
        <w:spacing w:after="0" w:line="276" w:lineRule="auto"/>
        <w:jc w:val="both"/>
        <w:rPr>
          <w:rFonts w:ascii="Times New Roman" w:hAnsi="Times New Roman" w:cs="Times New Roman"/>
          <w:sz w:val="26"/>
          <w:szCs w:val="26"/>
          <w:lang w:val="en-US"/>
        </w:rPr>
      </w:pPr>
      <w:r w:rsidRPr="00E25E0C">
        <w:rPr>
          <w:rFonts w:ascii="Times New Roman" w:hAnsi="Times New Roman" w:cs="Times New Roman"/>
          <w:sz w:val="26"/>
          <w:szCs w:val="26"/>
          <w:lang w:val="en-US"/>
        </w:rPr>
        <w:t>Design of upgrades</w:t>
      </w:r>
      <w:r w:rsidR="0073548E">
        <w:rPr>
          <w:rFonts w:ascii="Times New Roman" w:hAnsi="Times New Roman" w:cs="Times New Roman"/>
          <w:sz w:val="26"/>
          <w:szCs w:val="26"/>
          <w:lang w:val="en-US"/>
        </w:rPr>
        <w:t xml:space="preserve"> of </w:t>
      </w:r>
      <w:r w:rsidR="002617C6">
        <w:rPr>
          <w:rFonts w:ascii="Times New Roman" w:hAnsi="Times New Roman" w:cs="Times New Roman"/>
          <w:sz w:val="26"/>
          <w:szCs w:val="26"/>
          <w:lang w:val="en-US"/>
        </w:rPr>
        <w:t xml:space="preserve">several </w:t>
      </w:r>
      <w:r w:rsidR="0073548E">
        <w:rPr>
          <w:rFonts w:ascii="Times New Roman" w:hAnsi="Times New Roman" w:cs="Times New Roman"/>
          <w:sz w:val="26"/>
          <w:szCs w:val="26"/>
          <w:lang w:val="en-US"/>
        </w:rPr>
        <w:t>CRC</w:t>
      </w:r>
      <w:r w:rsidR="002617C6">
        <w:rPr>
          <w:rFonts w:ascii="Times New Roman" w:hAnsi="Times New Roman" w:cs="Times New Roman"/>
          <w:sz w:val="26"/>
          <w:szCs w:val="26"/>
          <w:lang w:val="en-US"/>
        </w:rPr>
        <w:t xml:space="preserve"> modules</w:t>
      </w:r>
      <w:r w:rsidR="0073548E">
        <w:rPr>
          <w:rFonts w:ascii="Times New Roman" w:hAnsi="Times New Roman" w:cs="Times New Roman"/>
          <w:sz w:val="26"/>
          <w:szCs w:val="26"/>
          <w:lang w:val="en-US"/>
        </w:rPr>
        <w:t xml:space="preserve"> </w:t>
      </w:r>
      <w:r w:rsidR="002617C6">
        <w:rPr>
          <w:rFonts w:ascii="Times New Roman" w:hAnsi="Times New Roman" w:cs="Times New Roman"/>
          <w:sz w:val="26"/>
          <w:szCs w:val="26"/>
          <w:lang w:val="en-US"/>
        </w:rPr>
        <w:t xml:space="preserve">and performance, </w:t>
      </w:r>
      <w:r w:rsidR="005F322A">
        <w:rPr>
          <w:rFonts w:ascii="Times New Roman" w:hAnsi="Times New Roman" w:cs="Times New Roman"/>
          <w:sz w:val="26"/>
          <w:szCs w:val="26"/>
          <w:lang w:val="en-US"/>
        </w:rPr>
        <w:t>KPI module and Enhanced Credit Reporting</w:t>
      </w:r>
    </w:p>
    <w:p w:rsidR="00E25E0C" w:rsidRPr="00E25E0C" w:rsidRDefault="00E25E0C" w:rsidP="00E25E0C">
      <w:pPr>
        <w:pStyle w:val="PargrafodaLista"/>
        <w:numPr>
          <w:ilvl w:val="0"/>
          <w:numId w:val="3"/>
        </w:numPr>
        <w:tabs>
          <w:tab w:val="left" w:pos="1080"/>
        </w:tabs>
        <w:spacing w:after="0" w:line="276" w:lineRule="auto"/>
        <w:jc w:val="both"/>
        <w:rPr>
          <w:rFonts w:ascii="Times New Roman" w:hAnsi="Times New Roman" w:cs="Times New Roman"/>
          <w:sz w:val="26"/>
          <w:szCs w:val="26"/>
          <w:lang w:val="en-US"/>
        </w:rPr>
      </w:pPr>
      <w:r w:rsidRPr="00E25E0C">
        <w:rPr>
          <w:rFonts w:ascii="Times New Roman" w:hAnsi="Times New Roman" w:cs="Times New Roman"/>
          <w:sz w:val="26"/>
          <w:szCs w:val="26"/>
          <w:lang w:val="en-US"/>
        </w:rPr>
        <w:t>Implementation of Credit Registry upgrades</w:t>
      </w:r>
    </w:p>
    <w:p w:rsidR="00E25E0C" w:rsidRPr="00E25E0C" w:rsidRDefault="00E25E0C" w:rsidP="00E25E0C">
      <w:pPr>
        <w:pStyle w:val="PargrafodaLista"/>
        <w:numPr>
          <w:ilvl w:val="0"/>
          <w:numId w:val="3"/>
        </w:numPr>
        <w:tabs>
          <w:tab w:val="left" w:pos="1080"/>
        </w:tabs>
        <w:spacing w:after="0" w:line="276" w:lineRule="auto"/>
        <w:jc w:val="both"/>
        <w:rPr>
          <w:rFonts w:ascii="Times New Roman" w:hAnsi="Times New Roman" w:cs="Times New Roman"/>
          <w:sz w:val="26"/>
          <w:szCs w:val="26"/>
          <w:lang w:val="en-US"/>
        </w:rPr>
      </w:pPr>
      <w:r w:rsidRPr="00E25E0C">
        <w:rPr>
          <w:rFonts w:ascii="Times New Roman" w:hAnsi="Times New Roman" w:cs="Times New Roman"/>
          <w:sz w:val="26"/>
          <w:szCs w:val="26"/>
          <w:lang w:val="en-US"/>
        </w:rPr>
        <w:t xml:space="preserve">Training to the </w:t>
      </w:r>
      <w:r w:rsidR="00E42AC7">
        <w:rPr>
          <w:rFonts w:ascii="Times New Roman" w:hAnsi="Times New Roman" w:cs="Times New Roman"/>
          <w:sz w:val="26"/>
          <w:szCs w:val="26"/>
          <w:lang w:val="en-US"/>
        </w:rPr>
        <w:t>Central Bank of S. Tome and Principe</w:t>
      </w:r>
      <w:r w:rsidRPr="00E25E0C">
        <w:rPr>
          <w:rFonts w:ascii="Times New Roman" w:hAnsi="Times New Roman" w:cs="Times New Roman"/>
          <w:sz w:val="26"/>
          <w:szCs w:val="26"/>
          <w:lang w:val="en-US"/>
        </w:rPr>
        <w:t xml:space="preserve"> staff and other stakeholders</w:t>
      </w:r>
    </w:p>
    <w:p w:rsidR="00E25E0C" w:rsidRPr="00E25E0C" w:rsidRDefault="00E25E0C" w:rsidP="00E25E0C">
      <w:pPr>
        <w:pStyle w:val="PargrafodaLista"/>
        <w:numPr>
          <w:ilvl w:val="0"/>
          <w:numId w:val="3"/>
        </w:numPr>
        <w:tabs>
          <w:tab w:val="left" w:pos="1080"/>
        </w:tabs>
        <w:spacing w:after="0" w:line="276" w:lineRule="auto"/>
        <w:jc w:val="both"/>
        <w:rPr>
          <w:rFonts w:ascii="Times New Roman" w:hAnsi="Times New Roman" w:cs="Times New Roman"/>
          <w:sz w:val="26"/>
          <w:szCs w:val="26"/>
          <w:lang w:val="en-US"/>
        </w:rPr>
      </w:pPr>
      <w:r w:rsidRPr="00E25E0C">
        <w:rPr>
          <w:rFonts w:ascii="Times New Roman" w:hAnsi="Times New Roman" w:cs="Times New Roman"/>
          <w:sz w:val="26"/>
          <w:szCs w:val="26"/>
          <w:lang w:val="en-US"/>
        </w:rPr>
        <w:t xml:space="preserve">Provide </w:t>
      </w:r>
      <w:r w:rsidR="003F2589" w:rsidRPr="00E25E0C">
        <w:rPr>
          <w:rFonts w:ascii="Times New Roman" w:hAnsi="Times New Roman" w:cs="Times New Roman"/>
          <w:sz w:val="26"/>
          <w:szCs w:val="26"/>
          <w:lang w:val="en-US"/>
        </w:rPr>
        <w:t>Application</w:t>
      </w:r>
      <w:r w:rsidR="003F2589">
        <w:rPr>
          <w:rFonts w:ascii="Times New Roman" w:hAnsi="Times New Roman" w:cs="Times New Roman"/>
          <w:sz w:val="26"/>
          <w:szCs w:val="26"/>
          <w:lang w:val="en-US"/>
        </w:rPr>
        <w:t>,</w:t>
      </w:r>
      <w:r w:rsidR="003F2589" w:rsidRPr="00E25E0C">
        <w:rPr>
          <w:rFonts w:ascii="Times New Roman" w:hAnsi="Times New Roman" w:cs="Times New Roman"/>
          <w:sz w:val="26"/>
          <w:szCs w:val="26"/>
          <w:lang w:val="en-US"/>
        </w:rPr>
        <w:t xml:space="preserve"> Maintenance</w:t>
      </w:r>
      <w:r w:rsidRPr="00E25E0C">
        <w:rPr>
          <w:rFonts w:ascii="Times New Roman" w:hAnsi="Times New Roman" w:cs="Times New Roman"/>
          <w:sz w:val="26"/>
          <w:szCs w:val="26"/>
          <w:lang w:val="en-US"/>
        </w:rPr>
        <w:t xml:space="preserve"> </w:t>
      </w:r>
      <w:r w:rsidR="005F322A">
        <w:rPr>
          <w:rFonts w:ascii="Times New Roman" w:hAnsi="Times New Roman" w:cs="Times New Roman"/>
          <w:sz w:val="26"/>
          <w:szCs w:val="26"/>
          <w:lang w:val="en-US"/>
        </w:rPr>
        <w:t xml:space="preserve">and </w:t>
      </w:r>
      <w:r w:rsidRPr="00E25E0C">
        <w:rPr>
          <w:rFonts w:ascii="Times New Roman" w:hAnsi="Times New Roman" w:cs="Times New Roman"/>
          <w:sz w:val="26"/>
          <w:szCs w:val="26"/>
          <w:lang w:val="en-US"/>
        </w:rPr>
        <w:t xml:space="preserve">Support during and after completion of Phases 1-3 for at least </w:t>
      </w:r>
      <w:r w:rsidR="005F322A">
        <w:rPr>
          <w:rFonts w:ascii="Times New Roman" w:hAnsi="Times New Roman" w:cs="Times New Roman"/>
          <w:sz w:val="26"/>
          <w:szCs w:val="26"/>
          <w:lang w:val="en-US"/>
        </w:rPr>
        <w:t>one year after platform go-live</w:t>
      </w:r>
      <w:r w:rsidRPr="00E25E0C">
        <w:rPr>
          <w:rFonts w:ascii="Times New Roman" w:hAnsi="Times New Roman" w:cs="Times New Roman"/>
          <w:sz w:val="26"/>
          <w:szCs w:val="26"/>
          <w:lang w:val="en-US"/>
        </w:rPr>
        <w:t>.</w:t>
      </w:r>
    </w:p>
    <w:p w:rsidR="008E397E" w:rsidRPr="0056760D" w:rsidRDefault="008E397E" w:rsidP="00E25E0C">
      <w:pPr>
        <w:spacing w:after="0" w:line="276"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3F2589">
        <w:rPr>
          <w:rFonts w:ascii="Times New Roman" w:eastAsia="Times New Roman" w:hAnsi="Times New Roman" w:cs="Times New Roman"/>
          <w:color w:val="374249"/>
          <w:sz w:val="26"/>
          <w:szCs w:val="26"/>
          <w:lang w:val="en-US" w:eastAsia="pt-PT"/>
        </w:rPr>
        <w:t xml:space="preserve">The consulting services is to be implemented from </w:t>
      </w:r>
      <w:r w:rsidR="00E25E0C" w:rsidRPr="003F2589">
        <w:rPr>
          <w:rFonts w:ascii="Times New Roman" w:eastAsia="Times New Roman" w:hAnsi="Times New Roman" w:cs="Times New Roman"/>
          <w:color w:val="374249"/>
          <w:sz w:val="26"/>
          <w:szCs w:val="26"/>
          <w:lang w:val="en-US" w:eastAsia="pt-PT"/>
        </w:rPr>
        <w:t>M</w:t>
      </w:r>
      <w:r w:rsidRPr="003F2589">
        <w:rPr>
          <w:rFonts w:ascii="Times New Roman" w:eastAsia="Times New Roman" w:hAnsi="Times New Roman" w:cs="Times New Roman"/>
          <w:color w:val="374249"/>
          <w:sz w:val="26"/>
          <w:szCs w:val="26"/>
          <w:lang w:val="en-US" w:eastAsia="pt-PT"/>
        </w:rPr>
        <w:t xml:space="preserve">ay to </w:t>
      </w:r>
      <w:r w:rsidR="004C6108" w:rsidRPr="003F2589">
        <w:rPr>
          <w:rFonts w:ascii="Times New Roman" w:eastAsia="Times New Roman" w:hAnsi="Times New Roman" w:cs="Times New Roman"/>
          <w:color w:val="374249"/>
          <w:sz w:val="26"/>
          <w:szCs w:val="26"/>
          <w:lang w:val="en-US" w:eastAsia="pt-PT"/>
        </w:rPr>
        <w:t>September</w:t>
      </w:r>
      <w:r w:rsidRPr="003F2589">
        <w:rPr>
          <w:rFonts w:ascii="Times New Roman" w:eastAsia="Times New Roman" w:hAnsi="Times New Roman" w:cs="Times New Roman"/>
          <w:color w:val="374249"/>
          <w:sz w:val="26"/>
          <w:szCs w:val="26"/>
          <w:lang w:val="en-US" w:eastAsia="pt-PT"/>
        </w:rPr>
        <w:t xml:space="preserve"> 201</w:t>
      </w:r>
      <w:r w:rsidR="004C6108" w:rsidRPr="003F2589">
        <w:rPr>
          <w:rFonts w:ascii="Times New Roman" w:eastAsia="Times New Roman" w:hAnsi="Times New Roman" w:cs="Times New Roman"/>
          <w:color w:val="374249"/>
          <w:sz w:val="26"/>
          <w:szCs w:val="26"/>
          <w:lang w:val="en-US" w:eastAsia="pt-PT"/>
        </w:rPr>
        <w:t>9</w:t>
      </w:r>
      <w:r w:rsidRPr="003F2589">
        <w:rPr>
          <w:rFonts w:ascii="Times New Roman" w:eastAsia="Times New Roman" w:hAnsi="Times New Roman" w:cs="Times New Roman"/>
          <w:color w:val="374249"/>
          <w:sz w:val="26"/>
          <w:szCs w:val="26"/>
          <w:lang w:val="en-US" w:eastAsia="pt-PT"/>
        </w:rPr>
        <w:t>.</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The detailed Terms of Reference (TOR) for the assignment can be obtained at the address given below.</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56760D">
        <w:rPr>
          <w:rFonts w:ascii="Times New Roman" w:eastAsia="Times New Roman" w:hAnsi="Times New Roman" w:cs="Times New Roman"/>
          <w:color w:val="374249"/>
          <w:sz w:val="26"/>
          <w:szCs w:val="26"/>
          <w:lang w:val="en-US" w:eastAsia="pt-PT"/>
        </w:rPr>
        <w:t xml:space="preserve"> The Project Administration and Fiduciary Agency (AFAP) now invites eligible consulting firms (“Consultants”) to indicate their interest in providing the Services. Interested Consultants should provide information demonstrating that they have the </w:t>
      </w:r>
      <w:r w:rsidRPr="0056760D">
        <w:rPr>
          <w:rFonts w:ascii="Times New Roman" w:eastAsia="Times New Roman" w:hAnsi="Times New Roman" w:cs="Times New Roman"/>
          <w:color w:val="374249"/>
          <w:sz w:val="26"/>
          <w:szCs w:val="26"/>
          <w:lang w:val="en-US" w:eastAsia="pt-PT"/>
        </w:rPr>
        <w:lastRenderedPageBreak/>
        <w:t xml:space="preserve">required qualifications and relevant experience to perform the Services. </w:t>
      </w:r>
      <w:r w:rsidRPr="00E25E0C">
        <w:rPr>
          <w:rFonts w:ascii="Times New Roman" w:eastAsia="Times New Roman" w:hAnsi="Times New Roman" w:cs="Times New Roman"/>
          <w:color w:val="374249"/>
          <w:sz w:val="26"/>
          <w:szCs w:val="26"/>
          <w:lang w:eastAsia="pt-PT"/>
        </w:rPr>
        <w:t>The shortlisting criteria are:</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 </w:t>
      </w:r>
    </w:p>
    <w:p w:rsidR="008E397E" w:rsidRPr="0056760D" w:rsidRDefault="008E397E" w:rsidP="00E25E0C">
      <w:pPr>
        <w:numPr>
          <w:ilvl w:val="0"/>
          <w:numId w:val="2"/>
        </w:numPr>
        <w:spacing w:before="100" w:beforeAutospacing="1" w:after="100" w:afterAutospacing="1"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Must have at least </w:t>
      </w:r>
      <w:r w:rsidR="00E25E0C" w:rsidRPr="0056760D">
        <w:rPr>
          <w:rFonts w:ascii="Times New Roman" w:eastAsia="Times New Roman" w:hAnsi="Times New Roman" w:cs="Times New Roman"/>
          <w:color w:val="374249"/>
          <w:sz w:val="26"/>
          <w:szCs w:val="26"/>
          <w:lang w:val="en-US" w:eastAsia="pt-PT"/>
        </w:rPr>
        <w:t>5</w:t>
      </w:r>
      <w:r w:rsidRPr="0056760D">
        <w:rPr>
          <w:rFonts w:ascii="Times New Roman" w:eastAsia="Times New Roman" w:hAnsi="Times New Roman" w:cs="Times New Roman"/>
          <w:color w:val="374249"/>
          <w:sz w:val="26"/>
          <w:szCs w:val="26"/>
          <w:lang w:val="en-US" w:eastAsia="pt-PT"/>
        </w:rPr>
        <w:t xml:space="preserve"> (</w:t>
      </w:r>
      <w:r w:rsidR="00E25E0C" w:rsidRPr="0056760D">
        <w:rPr>
          <w:rFonts w:ascii="Times New Roman" w:eastAsia="Times New Roman" w:hAnsi="Times New Roman" w:cs="Times New Roman"/>
          <w:color w:val="374249"/>
          <w:sz w:val="26"/>
          <w:szCs w:val="26"/>
          <w:lang w:val="en-US" w:eastAsia="pt-PT"/>
        </w:rPr>
        <w:t>five</w:t>
      </w:r>
      <w:r w:rsidRPr="0056760D">
        <w:rPr>
          <w:rFonts w:ascii="Times New Roman" w:eastAsia="Times New Roman" w:hAnsi="Times New Roman" w:cs="Times New Roman"/>
          <w:color w:val="374249"/>
          <w:sz w:val="26"/>
          <w:szCs w:val="26"/>
          <w:lang w:val="en-US" w:eastAsia="pt-PT"/>
        </w:rPr>
        <w:t xml:space="preserve">) years-experience in </w:t>
      </w:r>
      <w:r w:rsidR="00E25E0C" w:rsidRPr="0056760D">
        <w:rPr>
          <w:rFonts w:ascii="Times New Roman" w:eastAsia="Times New Roman" w:hAnsi="Times New Roman" w:cs="Times New Roman"/>
          <w:color w:val="374249"/>
          <w:sz w:val="26"/>
          <w:szCs w:val="26"/>
          <w:lang w:val="en-US" w:eastAsia="pt-PT"/>
        </w:rPr>
        <w:t>developing solutions supporting credit risk management and scoring;</w:t>
      </w:r>
    </w:p>
    <w:p w:rsidR="008E397E" w:rsidRPr="0056760D" w:rsidRDefault="008E397E" w:rsidP="00E25E0C">
      <w:pPr>
        <w:numPr>
          <w:ilvl w:val="0"/>
          <w:numId w:val="2"/>
        </w:numPr>
        <w:spacing w:before="100" w:beforeAutospacing="1" w:after="100" w:afterAutospacing="1"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Must have at least </w:t>
      </w:r>
      <w:r w:rsidR="00E25E0C" w:rsidRPr="0056760D">
        <w:rPr>
          <w:rFonts w:ascii="Times New Roman" w:eastAsia="Times New Roman" w:hAnsi="Times New Roman" w:cs="Times New Roman"/>
          <w:color w:val="374249"/>
          <w:sz w:val="26"/>
          <w:szCs w:val="26"/>
          <w:lang w:val="en-US" w:eastAsia="pt-PT"/>
        </w:rPr>
        <w:t>3</w:t>
      </w:r>
      <w:r w:rsidRPr="0056760D">
        <w:rPr>
          <w:rFonts w:ascii="Times New Roman" w:eastAsia="Times New Roman" w:hAnsi="Times New Roman" w:cs="Times New Roman"/>
          <w:color w:val="374249"/>
          <w:sz w:val="26"/>
          <w:szCs w:val="26"/>
          <w:lang w:val="en-US" w:eastAsia="pt-PT"/>
        </w:rPr>
        <w:t xml:space="preserve"> (t</w:t>
      </w:r>
      <w:r w:rsidR="00E25E0C" w:rsidRPr="0056760D">
        <w:rPr>
          <w:rFonts w:ascii="Times New Roman" w:eastAsia="Times New Roman" w:hAnsi="Times New Roman" w:cs="Times New Roman"/>
          <w:color w:val="374249"/>
          <w:sz w:val="26"/>
          <w:szCs w:val="26"/>
          <w:lang w:val="en-US" w:eastAsia="pt-PT"/>
        </w:rPr>
        <w:t>hree</w:t>
      </w:r>
      <w:r w:rsidRPr="0056760D">
        <w:rPr>
          <w:rFonts w:ascii="Times New Roman" w:eastAsia="Times New Roman" w:hAnsi="Times New Roman" w:cs="Times New Roman"/>
          <w:color w:val="374249"/>
          <w:sz w:val="26"/>
          <w:szCs w:val="26"/>
          <w:lang w:val="en-US" w:eastAsia="pt-PT"/>
        </w:rPr>
        <w:t>) similar contracts in the last 5 years.</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Key Experts will not be evaluated at the shortlisting stage.</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The attention of interested Consultants is drawn to Section III, paragraphs, 3.14, 3.16, and 3.17 of the World Bank’s “Procurement Regulations for IPF Borrowers” July 2016, revised on </w:t>
      </w:r>
      <w:r w:rsidR="003F2589">
        <w:rPr>
          <w:rFonts w:ascii="Times New Roman" w:eastAsia="Times New Roman" w:hAnsi="Times New Roman" w:cs="Times New Roman"/>
          <w:color w:val="374249"/>
          <w:sz w:val="26"/>
          <w:szCs w:val="26"/>
          <w:lang w:val="en-US" w:eastAsia="pt-PT"/>
        </w:rPr>
        <w:t>October 2017 and August 2018</w:t>
      </w:r>
      <w:r w:rsidRPr="0056760D">
        <w:rPr>
          <w:rFonts w:ascii="Times New Roman" w:eastAsia="Times New Roman" w:hAnsi="Times New Roman" w:cs="Times New Roman"/>
          <w:color w:val="FF0000"/>
          <w:sz w:val="26"/>
          <w:szCs w:val="26"/>
          <w:lang w:val="en-US" w:eastAsia="pt-PT"/>
        </w:rPr>
        <w:t xml:space="preserve"> </w:t>
      </w:r>
      <w:r w:rsidRPr="0056760D">
        <w:rPr>
          <w:rFonts w:ascii="Times New Roman" w:eastAsia="Times New Roman" w:hAnsi="Times New Roman" w:cs="Times New Roman"/>
          <w:color w:val="374249"/>
          <w:sz w:val="26"/>
          <w:szCs w:val="26"/>
          <w:lang w:val="en-US" w:eastAsia="pt-PT"/>
        </w:rPr>
        <w:t>(“Procurement Regulations”), the Institutional Capacity Building Project, setting forth the World Bank’s policy on conflict of interest.</w:t>
      </w:r>
    </w:p>
    <w:p w:rsidR="00712174" w:rsidRDefault="00712174" w:rsidP="00E25E0C">
      <w:pPr>
        <w:spacing w:after="150" w:line="240" w:lineRule="auto"/>
        <w:jc w:val="both"/>
        <w:rPr>
          <w:rFonts w:ascii="Times New Roman" w:eastAsia="Times New Roman" w:hAnsi="Times New Roman" w:cs="Times New Roman"/>
          <w:color w:val="374249"/>
          <w:sz w:val="26"/>
          <w:szCs w:val="26"/>
          <w:lang w:val="en-US" w:eastAsia="pt-PT"/>
        </w:rPr>
      </w:pP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3F2589">
        <w:rPr>
          <w:rFonts w:ascii="Times New Roman" w:eastAsia="Times New Roman" w:hAnsi="Times New Roman" w:cs="Times New Roman"/>
          <w:color w:val="374249"/>
          <w:sz w:val="26"/>
          <w:szCs w:val="26"/>
          <w:lang w:val="en-US" w:eastAsia="pt-PT"/>
        </w:rPr>
        <w:t>A Consultant will be selected in accordance with the Quality Cost Based Selection (QCBS) method set out in the Procurement Regulations.</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Further information can be obtained at the address below during office hours: </w:t>
      </w:r>
      <w:r w:rsidRPr="0056760D">
        <w:rPr>
          <w:rFonts w:ascii="Times New Roman" w:eastAsia="Times New Roman" w:hAnsi="Times New Roman" w:cs="Times New Roman"/>
          <w:b/>
          <w:bCs/>
          <w:color w:val="374249"/>
          <w:sz w:val="26"/>
          <w:szCs w:val="26"/>
          <w:lang w:val="en-US" w:eastAsia="pt-PT"/>
        </w:rPr>
        <w:t>08:30 to 12:00 and 15:00 to 17:00 hours (</w:t>
      </w:r>
      <w:r w:rsidR="002617C6">
        <w:rPr>
          <w:rFonts w:ascii="Times New Roman" w:eastAsia="Times New Roman" w:hAnsi="Times New Roman" w:cs="Times New Roman"/>
          <w:b/>
          <w:bCs/>
          <w:color w:val="374249"/>
          <w:sz w:val="26"/>
          <w:szCs w:val="26"/>
          <w:lang w:val="en-US" w:eastAsia="pt-PT"/>
        </w:rPr>
        <w:t xml:space="preserve">Sao Tome and Principe </w:t>
      </w:r>
      <w:r w:rsidRPr="0056760D">
        <w:rPr>
          <w:rFonts w:ascii="Times New Roman" w:eastAsia="Times New Roman" w:hAnsi="Times New Roman" w:cs="Times New Roman"/>
          <w:b/>
          <w:bCs/>
          <w:color w:val="374249"/>
          <w:sz w:val="26"/>
          <w:szCs w:val="26"/>
          <w:lang w:val="en-US" w:eastAsia="pt-PT"/>
        </w:rPr>
        <w:t>local time) Monday to Friday.</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 xml:space="preserve">Expressions of interest must be delivered in a written form to the address below (in </w:t>
      </w:r>
      <w:r w:rsidR="00174E0F" w:rsidRPr="0056760D">
        <w:rPr>
          <w:rFonts w:ascii="Times New Roman" w:eastAsia="Times New Roman" w:hAnsi="Times New Roman" w:cs="Times New Roman"/>
          <w:color w:val="374249"/>
          <w:sz w:val="26"/>
          <w:szCs w:val="26"/>
          <w:lang w:val="en-US" w:eastAsia="pt-PT"/>
        </w:rPr>
        <w:t>person</w:t>
      </w:r>
      <w:r w:rsidR="00174E0F">
        <w:rPr>
          <w:rFonts w:ascii="Times New Roman" w:eastAsia="Times New Roman" w:hAnsi="Times New Roman" w:cs="Times New Roman"/>
          <w:color w:val="374249"/>
          <w:sz w:val="26"/>
          <w:szCs w:val="26"/>
          <w:lang w:val="en-US" w:eastAsia="pt-PT"/>
        </w:rPr>
        <w:t>,</w:t>
      </w:r>
      <w:r w:rsidR="00174E0F" w:rsidRPr="0056760D">
        <w:rPr>
          <w:rFonts w:ascii="Times New Roman" w:eastAsia="Times New Roman" w:hAnsi="Times New Roman" w:cs="Times New Roman"/>
          <w:color w:val="374249"/>
          <w:sz w:val="26"/>
          <w:szCs w:val="26"/>
          <w:lang w:val="en-US" w:eastAsia="pt-PT"/>
        </w:rPr>
        <w:t xml:space="preserve"> by</w:t>
      </w:r>
      <w:r w:rsidRPr="0056760D">
        <w:rPr>
          <w:rFonts w:ascii="Times New Roman" w:eastAsia="Times New Roman" w:hAnsi="Times New Roman" w:cs="Times New Roman"/>
          <w:color w:val="374249"/>
          <w:sz w:val="26"/>
          <w:szCs w:val="26"/>
          <w:lang w:val="en-US" w:eastAsia="pt-PT"/>
        </w:rPr>
        <w:t xml:space="preserve"> mail or by e-mail) by </w:t>
      </w:r>
      <w:r w:rsidR="00E42AC7">
        <w:rPr>
          <w:rFonts w:ascii="Times New Roman" w:eastAsia="Times New Roman" w:hAnsi="Times New Roman" w:cs="Times New Roman"/>
          <w:b/>
          <w:bCs/>
          <w:color w:val="374249"/>
          <w:sz w:val="26"/>
          <w:szCs w:val="26"/>
          <w:lang w:val="en-US" w:eastAsia="pt-PT"/>
        </w:rPr>
        <w:t>March</w:t>
      </w:r>
      <w:r w:rsidRPr="0056760D">
        <w:rPr>
          <w:rFonts w:ascii="Times New Roman" w:eastAsia="Times New Roman" w:hAnsi="Times New Roman" w:cs="Times New Roman"/>
          <w:b/>
          <w:bCs/>
          <w:color w:val="374249"/>
          <w:sz w:val="26"/>
          <w:szCs w:val="26"/>
          <w:lang w:val="en-US" w:eastAsia="pt-PT"/>
        </w:rPr>
        <w:t xml:space="preserve"> </w:t>
      </w:r>
      <w:r w:rsidR="003F2589">
        <w:rPr>
          <w:rFonts w:ascii="Times New Roman" w:eastAsia="Times New Roman" w:hAnsi="Times New Roman" w:cs="Times New Roman"/>
          <w:b/>
          <w:bCs/>
          <w:color w:val="374249"/>
          <w:sz w:val="26"/>
          <w:szCs w:val="26"/>
          <w:lang w:val="en-US" w:eastAsia="pt-PT"/>
        </w:rPr>
        <w:t>2</w:t>
      </w:r>
      <w:r w:rsidR="00E42AC7">
        <w:rPr>
          <w:rFonts w:ascii="Times New Roman" w:eastAsia="Times New Roman" w:hAnsi="Times New Roman" w:cs="Times New Roman"/>
          <w:b/>
          <w:bCs/>
          <w:color w:val="374249"/>
          <w:sz w:val="26"/>
          <w:szCs w:val="26"/>
          <w:lang w:val="en-US" w:eastAsia="pt-PT"/>
        </w:rPr>
        <w:t>8</w:t>
      </w:r>
      <w:r w:rsidRPr="0056760D">
        <w:rPr>
          <w:rFonts w:ascii="Times New Roman" w:eastAsia="Times New Roman" w:hAnsi="Times New Roman" w:cs="Times New Roman"/>
          <w:b/>
          <w:bCs/>
          <w:color w:val="374249"/>
          <w:sz w:val="26"/>
          <w:szCs w:val="26"/>
          <w:lang w:val="en-US" w:eastAsia="pt-PT"/>
        </w:rPr>
        <w:t>, 2019 until 17:00 hours (Sao Tome and Principe local time).</w:t>
      </w:r>
    </w:p>
    <w:p w:rsidR="008E397E" w:rsidRPr="00E42AC7"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E42AC7">
        <w:rPr>
          <w:rFonts w:ascii="Times New Roman" w:eastAsia="Times New Roman" w:hAnsi="Times New Roman" w:cs="Times New Roman"/>
          <w:color w:val="374249"/>
          <w:sz w:val="26"/>
          <w:szCs w:val="26"/>
          <w:lang w:val="en-US" w:eastAsia="pt-PT"/>
        </w:rPr>
        <w:t> </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Agência Fiduciária e de Administração de Projetos</w:t>
      </w:r>
    </w:p>
    <w:p w:rsidR="008E397E" w:rsidRPr="0056760D" w:rsidRDefault="008E397E" w:rsidP="00E25E0C">
      <w:pPr>
        <w:spacing w:after="150" w:line="240" w:lineRule="auto"/>
        <w:jc w:val="both"/>
        <w:rPr>
          <w:rFonts w:ascii="Times New Roman" w:eastAsia="Times New Roman" w:hAnsi="Times New Roman" w:cs="Times New Roman"/>
          <w:color w:val="374249"/>
          <w:sz w:val="26"/>
          <w:szCs w:val="26"/>
          <w:lang w:val="en-US" w:eastAsia="pt-PT"/>
        </w:rPr>
      </w:pPr>
      <w:r w:rsidRPr="0056760D">
        <w:rPr>
          <w:rFonts w:ascii="Times New Roman" w:eastAsia="Times New Roman" w:hAnsi="Times New Roman" w:cs="Times New Roman"/>
          <w:color w:val="374249"/>
          <w:sz w:val="26"/>
          <w:szCs w:val="26"/>
          <w:lang w:val="en-US" w:eastAsia="pt-PT"/>
        </w:rPr>
        <w:t>Attn: Mr. Alberto F. Leal, Coordinator</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Avenida Kwame N’Krumah</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Edifício do Afriland First Bank, 3º Piso</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CP 1029, São Tomé, São Tomé e Príncipe</w:t>
      </w:r>
    </w:p>
    <w:p w:rsidR="008E397E" w:rsidRPr="00E25E0C" w:rsidRDefault="008E397E" w:rsidP="00E25E0C">
      <w:pPr>
        <w:spacing w:after="15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Tel: + 239 222 52 05</w:t>
      </w:r>
    </w:p>
    <w:p w:rsidR="008E397E" w:rsidRPr="00E25E0C" w:rsidRDefault="008E397E" w:rsidP="00E25E0C">
      <w:pPr>
        <w:spacing w:after="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 xml:space="preserve">E-mail: </w:t>
      </w:r>
      <w:r w:rsidR="002617C6" w:rsidRPr="002617C6">
        <w:t xml:space="preserve"> </w:t>
      </w:r>
      <w:hyperlink r:id="rId7" w:history="1">
        <w:r w:rsidR="002617C6" w:rsidRPr="00BE2B26">
          <w:rPr>
            <w:rStyle w:val="Hyperlink"/>
            <w:rFonts w:ascii="Times New Roman" w:eastAsia="Times New Roman" w:hAnsi="Times New Roman" w:cs="Times New Roman"/>
            <w:sz w:val="26"/>
            <w:szCs w:val="26"/>
            <w:lang w:eastAsia="pt-PT"/>
          </w:rPr>
          <w:t>horacio.dias@afap.st</w:t>
        </w:r>
      </w:hyperlink>
      <w:r w:rsidR="002617C6">
        <w:rPr>
          <w:rFonts w:ascii="Times New Roman" w:eastAsia="Times New Roman" w:hAnsi="Times New Roman" w:cs="Times New Roman"/>
          <w:color w:val="374249"/>
          <w:sz w:val="26"/>
          <w:szCs w:val="26"/>
          <w:lang w:eastAsia="pt-PT"/>
        </w:rPr>
        <w:t xml:space="preserve"> </w:t>
      </w:r>
    </w:p>
    <w:p w:rsidR="008E397E" w:rsidRPr="00E25E0C" w:rsidRDefault="008E397E" w:rsidP="00174E0F">
      <w:pPr>
        <w:spacing w:after="0" w:line="240" w:lineRule="auto"/>
        <w:jc w:val="both"/>
        <w:rPr>
          <w:rFonts w:ascii="Times New Roman" w:eastAsia="Times New Roman" w:hAnsi="Times New Roman" w:cs="Times New Roman"/>
          <w:color w:val="374249"/>
          <w:sz w:val="26"/>
          <w:szCs w:val="26"/>
          <w:lang w:eastAsia="pt-PT"/>
        </w:rPr>
      </w:pPr>
      <w:r w:rsidRPr="00E25E0C">
        <w:rPr>
          <w:rFonts w:ascii="Times New Roman" w:eastAsia="Times New Roman" w:hAnsi="Times New Roman" w:cs="Times New Roman"/>
          <w:color w:val="374249"/>
          <w:sz w:val="26"/>
          <w:szCs w:val="26"/>
          <w:lang w:eastAsia="pt-PT"/>
        </w:rPr>
        <w:t xml:space="preserve">             </w:t>
      </w:r>
      <w:hyperlink r:id="rId8" w:history="1">
        <w:r w:rsidR="002617C6" w:rsidRPr="00BE2B26">
          <w:rPr>
            <w:rStyle w:val="Hyperlink"/>
            <w:rFonts w:ascii="Times New Roman" w:eastAsia="Times New Roman" w:hAnsi="Times New Roman" w:cs="Times New Roman"/>
            <w:sz w:val="26"/>
            <w:szCs w:val="26"/>
            <w:lang w:eastAsia="pt-PT"/>
          </w:rPr>
          <w:t>afap2@yahoo.com.br</w:t>
        </w:r>
      </w:hyperlink>
      <w:r w:rsidR="002617C6">
        <w:rPr>
          <w:rFonts w:ascii="Times New Roman" w:eastAsia="Times New Roman" w:hAnsi="Times New Roman" w:cs="Times New Roman"/>
          <w:color w:val="374249"/>
          <w:sz w:val="26"/>
          <w:szCs w:val="26"/>
          <w:lang w:eastAsia="pt-PT"/>
        </w:rPr>
        <w:t xml:space="preserve"> </w:t>
      </w:r>
      <w:r w:rsidRPr="00E25E0C">
        <w:rPr>
          <w:rFonts w:ascii="Times New Roman" w:eastAsia="Times New Roman" w:hAnsi="Times New Roman" w:cs="Times New Roman"/>
          <w:color w:val="374249"/>
          <w:sz w:val="26"/>
          <w:szCs w:val="26"/>
          <w:lang w:eastAsia="pt-PT"/>
        </w:rPr>
        <w:t> </w:t>
      </w:r>
    </w:p>
    <w:p w:rsidR="00D44473" w:rsidRPr="00E25E0C" w:rsidRDefault="00D44473" w:rsidP="00E25E0C">
      <w:pPr>
        <w:jc w:val="both"/>
        <w:rPr>
          <w:rFonts w:ascii="Times New Roman" w:hAnsi="Times New Roman" w:cs="Times New Roman"/>
          <w:sz w:val="26"/>
          <w:szCs w:val="26"/>
        </w:rPr>
      </w:pPr>
    </w:p>
    <w:sectPr w:rsidR="00D44473" w:rsidRPr="00E25E0C" w:rsidSect="00174E0F">
      <w:pgSz w:w="11906" w:h="16838"/>
      <w:pgMar w:top="567" w:right="119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7D8"/>
    <w:multiLevelType w:val="hybridMultilevel"/>
    <w:tmpl w:val="D9AAF1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DE95F08"/>
    <w:multiLevelType w:val="multilevel"/>
    <w:tmpl w:val="118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D0808"/>
    <w:multiLevelType w:val="multilevel"/>
    <w:tmpl w:val="8EA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7E"/>
    <w:rsid w:val="00174E0F"/>
    <w:rsid w:val="002617C6"/>
    <w:rsid w:val="003F2589"/>
    <w:rsid w:val="00435381"/>
    <w:rsid w:val="004B4412"/>
    <w:rsid w:val="004C6108"/>
    <w:rsid w:val="0056760D"/>
    <w:rsid w:val="005F322A"/>
    <w:rsid w:val="00712174"/>
    <w:rsid w:val="0073548E"/>
    <w:rsid w:val="008016B8"/>
    <w:rsid w:val="008E397E"/>
    <w:rsid w:val="00D44473"/>
    <w:rsid w:val="00E25E0C"/>
    <w:rsid w:val="00E42A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74E0F"/>
    <w:pPr>
      <w:keepNext/>
      <w:tabs>
        <w:tab w:val="left" w:pos="5220"/>
      </w:tabs>
      <w:spacing w:after="0" w:line="240" w:lineRule="auto"/>
      <w:outlineLvl w:val="0"/>
    </w:pPr>
    <w:rPr>
      <w:rFonts w:ascii="Arial" w:eastAsia="Times New Roman" w:hAnsi="Arial" w:cs="Arial"/>
      <w:sz w:val="32"/>
      <w:szCs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397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8E397E"/>
    <w:rPr>
      <w:b/>
      <w:bCs/>
    </w:rPr>
  </w:style>
  <w:style w:type="paragraph" w:styleId="PargrafodaLista">
    <w:name w:val="List Paragraph"/>
    <w:basedOn w:val="Normal"/>
    <w:link w:val="PargrafodaListaChar"/>
    <w:uiPriority w:val="34"/>
    <w:qFormat/>
    <w:rsid w:val="008E397E"/>
    <w:pPr>
      <w:ind w:left="720"/>
      <w:contextualSpacing/>
    </w:pPr>
  </w:style>
  <w:style w:type="character" w:customStyle="1" w:styleId="PargrafodaListaChar">
    <w:name w:val="Parágrafo da Lista Char"/>
    <w:link w:val="PargrafodaLista"/>
    <w:uiPriority w:val="34"/>
    <w:rsid w:val="00E25E0C"/>
  </w:style>
  <w:style w:type="paragraph" w:styleId="Textodebalo">
    <w:name w:val="Balloon Text"/>
    <w:basedOn w:val="Normal"/>
    <w:link w:val="TextodebaloChar"/>
    <w:uiPriority w:val="99"/>
    <w:semiHidden/>
    <w:unhideWhenUsed/>
    <w:rsid w:val="002617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17C6"/>
    <w:rPr>
      <w:rFonts w:ascii="Segoe UI" w:hAnsi="Segoe UI" w:cs="Segoe UI"/>
      <w:sz w:val="18"/>
      <w:szCs w:val="18"/>
    </w:rPr>
  </w:style>
  <w:style w:type="character" w:styleId="Hyperlink">
    <w:name w:val="Hyperlink"/>
    <w:basedOn w:val="Fontepargpadro"/>
    <w:uiPriority w:val="99"/>
    <w:unhideWhenUsed/>
    <w:rsid w:val="002617C6"/>
    <w:rPr>
      <w:color w:val="0563C1" w:themeColor="hyperlink"/>
      <w:u w:val="single"/>
    </w:rPr>
  </w:style>
  <w:style w:type="character" w:customStyle="1" w:styleId="UnresolvedMention">
    <w:name w:val="Unresolved Mention"/>
    <w:basedOn w:val="Fontepargpadro"/>
    <w:uiPriority w:val="99"/>
    <w:semiHidden/>
    <w:unhideWhenUsed/>
    <w:rsid w:val="002617C6"/>
    <w:rPr>
      <w:color w:val="605E5C"/>
      <w:shd w:val="clear" w:color="auto" w:fill="E1DFDD"/>
    </w:rPr>
  </w:style>
  <w:style w:type="character" w:customStyle="1" w:styleId="Ttulo1Char">
    <w:name w:val="Título 1 Char"/>
    <w:basedOn w:val="Fontepargpadro"/>
    <w:link w:val="Ttulo1"/>
    <w:rsid w:val="00174E0F"/>
    <w:rPr>
      <w:rFonts w:ascii="Arial" w:eastAsia="Times New Roman" w:hAnsi="Arial" w:cs="Arial"/>
      <w:sz w:val="32"/>
      <w:szCs w:val="24"/>
      <w:lang w:eastAsia="pt-PT"/>
    </w:rPr>
  </w:style>
  <w:style w:type="paragraph" w:styleId="Subttulo">
    <w:name w:val="Subtitle"/>
    <w:basedOn w:val="Normal"/>
    <w:link w:val="SubttuloChar"/>
    <w:qFormat/>
    <w:rsid w:val="00174E0F"/>
    <w:pPr>
      <w:spacing w:after="60" w:line="240" w:lineRule="auto"/>
      <w:jc w:val="center"/>
      <w:outlineLvl w:val="1"/>
    </w:pPr>
    <w:rPr>
      <w:rFonts w:ascii="Arial" w:eastAsia="Times New Roman" w:hAnsi="Arial" w:cs="Times New Roman"/>
      <w:sz w:val="24"/>
      <w:szCs w:val="20"/>
    </w:rPr>
  </w:style>
  <w:style w:type="character" w:customStyle="1" w:styleId="SubttuloChar">
    <w:name w:val="Subtítulo Char"/>
    <w:basedOn w:val="Fontepargpadro"/>
    <w:link w:val="Subttulo"/>
    <w:rsid w:val="00174E0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74E0F"/>
    <w:pPr>
      <w:keepNext/>
      <w:tabs>
        <w:tab w:val="left" w:pos="5220"/>
      </w:tabs>
      <w:spacing w:after="0" w:line="240" w:lineRule="auto"/>
      <w:outlineLvl w:val="0"/>
    </w:pPr>
    <w:rPr>
      <w:rFonts w:ascii="Arial" w:eastAsia="Times New Roman" w:hAnsi="Arial" w:cs="Arial"/>
      <w:sz w:val="32"/>
      <w:szCs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397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Fontepargpadro"/>
    <w:uiPriority w:val="22"/>
    <w:qFormat/>
    <w:rsid w:val="008E397E"/>
    <w:rPr>
      <w:b/>
      <w:bCs/>
    </w:rPr>
  </w:style>
  <w:style w:type="paragraph" w:styleId="PargrafodaLista">
    <w:name w:val="List Paragraph"/>
    <w:basedOn w:val="Normal"/>
    <w:link w:val="PargrafodaListaChar"/>
    <w:uiPriority w:val="34"/>
    <w:qFormat/>
    <w:rsid w:val="008E397E"/>
    <w:pPr>
      <w:ind w:left="720"/>
      <w:contextualSpacing/>
    </w:pPr>
  </w:style>
  <w:style w:type="character" w:customStyle="1" w:styleId="PargrafodaListaChar">
    <w:name w:val="Parágrafo da Lista Char"/>
    <w:link w:val="PargrafodaLista"/>
    <w:uiPriority w:val="34"/>
    <w:rsid w:val="00E25E0C"/>
  </w:style>
  <w:style w:type="paragraph" w:styleId="Textodebalo">
    <w:name w:val="Balloon Text"/>
    <w:basedOn w:val="Normal"/>
    <w:link w:val="TextodebaloChar"/>
    <w:uiPriority w:val="99"/>
    <w:semiHidden/>
    <w:unhideWhenUsed/>
    <w:rsid w:val="002617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17C6"/>
    <w:rPr>
      <w:rFonts w:ascii="Segoe UI" w:hAnsi="Segoe UI" w:cs="Segoe UI"/>
      <w:sz w:val="18"/>
      <w:szCs w:val="18"/>
    </w:rPr>
  </w:style>
  <w:style w:type="character" w:styleId="Hyperlink">
    <w:name w:val="Hyperlink"/>
    <w:basedOn w:val="Fontepargpadro"/>
    <w:uiPriority w:val="99"/>
    <w:unhideWhenUsed/>
    <w:rsid w:val="002617C6"/>
    <w:rPr>
      <w:color w:val="0563C1" w:themeColor="hyperlink"/>
      <w:u w:val="single"/>
    </w:rPr>
  </w:style>
  <w:style w:type="character" w:customStyle="1" w:styleId="UnresolvedMention">
    <w:name w:val="Unresolved Mention"/>
    <w:basedOn w:val="Fontepargpadro"/>
    <w:uiPriority w:val="99"/>
    <w:semiHidden/>
    <w:unhideWhenUsed/>
    <w:rsid w:val="002617C6"/>
    <w:rPr>
      <w:color w:val="605E5C"/>
      <w:shd w:val="clear" w:color="auto" w:fill="E1DFDD"/>
    </w:rPr>
  </w:style>
  <w:style w:type="character" w:customStyle="1" w:styleId="Ttulo1Char">
    <w:name w:val="Título 1 Char"/>
    <w:basedOn w:val="Fontepargpadro"/>
    <w:link w:val="Ttulo1"/>
    <w:rsid w:val="00174E0F"/>
    <w:rPr>
      <w:rFonts w:ascii="Arial" w:eastAsia="Times New Roman" w:hAnsi="Arial" w:cs="Arial"/>
      <w:sz w:val="32"/>
      <w:szCs w:val="24"/>
      <w:lang w:eastAsia="pt-PT"/>
    </w:rPr>
  </w:style>
  <w:style w:type="paragraph" w:styleId="Subttulo">
    <w:name w:val="Subtitle"/>
    <w:basedOn w:val="Normal"/>
    <w:link w:val="SubttuloChar"/>
    <w:qFormat/>
    <w:rsid w:val="00174E0F"/>
    <w:pPr>
      <w:spacing w:after="60" w:line="240" w:lineRule="auto"/>
      <w:jc w:val="center"/>
      <w:outlineLvl w:val="1"/>
    </w:pPr>
    <w:rPr>
      <w:rFonts w:ascii="Arial" w:eastAsia="Times New Roman" w:hAnsi="Arial" w:cs="Times New Roman"/>
      <w:sz w:val="24"/>
      <w:szCs w:val="20"/>
    </w:rPr>
  </w:style>
  <w:style w:type="character" w:customStyle="1" w:styleId="SubttuloChar">
    <w:name w:val="Subtítulo Char"/>
    <w:basedOn w:val="Fontepargpadro"/>
    <w:link w:val="Subttulo"/>
    <w:rsid w:val="00174E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p2@yahoo.com.br" TargetMode="External"/><Relationship Id="rId3" Type="http://schemas.microsoft.com/office/2007/relationships/stylesWithEffects" Target="stylesWithEffects.xml"/><Relationship Id="rId7" Type="http://schemas.openxmlformats.org/officeDocument/2006/relationships/hyperlink" Target="mailto:horacio.dias@afa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Dias</dc:creator>
  <cp:lastModifiedBy>ABEL VEIGA</cp:lastModifiedBy>
  <cp:revision>2</cp:revision>
  <dcterms:created xsi:type="dcterms:W3CDTF">2019-03-07T16:52:00Z</dcterms:created>
  <dcterms:modified xsi:type="dcterms:W3CDTF">2019-03-07T16:52:00Z</dcterms:modified>
</cp:coreProperties>
</file>