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G Times" w:hAnsi="CG Times" w:cs="CG Times" w:eastAsia="CG Times"/>
          <w:color w:val="auto"/>
          <w:spacing w:val="-2"/>
          <w:position w:val="0"/>
          <w:sz w:val="24"/>
          <w:shd w:fill="auto" w:val="clear"/>
        </w:rPr>
        <w:t xml:space="preserve"> </w:t>
      </w:r>
    </w:p>
    <w:p>
      <w:pPr>
        <w:spacing w:before="240" w:after="60" w:line="240"/>
        <w:ind w:right="0" w:left="0" w:firstLine="0"/>
        <w:jc w:val="left"/>
        <w:rPr>
          <w:rFonts w:ascii="Arial" w:hAnsi="Arial" w:cs="Arial" w:eastAsia="Arial"/>
          <w:b/>
          <w:color w:val="003366"/>
          <w:spacing w:val="0"/>
          <w:position w:val="0"/>
          <w:sz w:val="32"/>
          <w:shd w:fill="auto" w:val="clear"/>
        </w:rPr>
      </w:pPr>
      <w:r>
        <w:object w:dxaOrig="792" w:dyaOrig="691">
          <v:rect xmlns:o="urn:schemas-microsoft-com:office:office" xmlns:v="urn:schemas-microsoft-com:vml" id="rectole0000000000" style="width:39.600000pt;height:34.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G Times" w:hAnsi="CG Times" w:cs="CG Times" w:eastAsia="CG Times"/>
          <w:i/>
          <w:color w:val="auto"/>
          <w:spacing w:val="-2"/>
          <w:position w:val="0"/>
          <w:sz w:val="24"/>
          <w:shd w:fill="auto" w:val="clear"/>
        </w:rPr>
        <w:t xml:space="preserve"> </w:t>
      </w:r>
      <w:r>
        <w:rPr>
          <w:rFonts w:ascii="Arial" w:hAnsi="Arial" w:cs="Arial" w:eastAsia="Arial"/>
          <w:b/>
          <w:color w:val="003366"/>
          <w:spacing w:val="0"/>
          <w:position w:val="0"/>
          <w:sz w:val="32"/>
          <w:shd w:fill="auto" w:val="clear"/>
        </w:rPr>
        <w:t xml:space="preserve">República Democrática            de São Tomé e Príncipe</w:t>
      </w:r>
    </w:p>
    <w:p>
      <w:pPr>
        <w:spacing w:before="0" w:after="0" w:line="240"/>
        <w:ind w:right="0" w:left="0" w:firstLine="0"/>
        <w:jc w:val="center"/>
        <w:rPr>
          <w:rFonts w:ascii="Arial" w:hAnsi="Arial" w:cs="Arial" w:eastAsia="Arial"/>
          <w:b/>
          <w:color w:val="003366"/>
          <w:spacing w:val="0"/>
          <w:position w:val="0"/>
          <w:sz w:val="16"/>
          <w:shd w:fill="auto" w:val="clear"/>
        </w:rPr>
      </w:pPr>
    </w:p>
    <w:p>
      <w:pPr>
        <w:spacing w:before="0" w:after="0" w:line="240"/>
        <w:ind w:right="0" w:left="0" w:firstLine="0"/>
        <w:jc w:val="center"/>
        <w:rPr>
          <w:rFonts w:ascii="Arial" w:hAnsi="Arial" w:cs="Arial" w:eastAsia="Arial"/>
          <w:b/>
          <w:color w:val="003366"/>
          <w:spacing w:val="0"/>
          <w:position w:val="0"/>
          <w:sz w:val="32"/>
          <w:shd w:fill="auto" w:val="clear"/>
        </w:rPr>
      </w:pPr>
      <w:r>
        <w:rPr>
          <w:rFonts w:ascii="Arial" w:hAnsi="Arial" w:cs="Arial" w:eastAsia="Arial"/>
          <w:b/>
          <w:color w:val="003366"/>
          <w:spacing w:val="0"/>
          <w:position w:val="0"/>
          <w:sz w:val="32"/>
          <w:shd w:fill="auto" w:val="clear"/>
        </w:rPr>
        <w:t xml:space="preserve">Ministério do Planeamento, Finanças e da Economia Azul </w:t>
      </w:r>
    </w:p>
    <w:p>
      <w:pPr>
        <w:spacing w:before="0" w:after="0" w:line="240"/>
        <w:ind w:right="0" w:left="0" w:firstLine="0"/>
        <w:jc w:val="center"/>
        <w:rPr>
          <w:rFonts w:ascii="Arial" w:hAnsi="Arial" w:cs="Arial" w:eastAsia="Arial"/>
          <w:b/>
          <w:color w:val="003366"/>
          <w:spacing w:val="0"/>
          <w:position w:val="0"/>
          <w:sz w:val="16"/>
          <w:shd w:fill="auto" w:val="clear"/>
        </w:rPr>
      </w:pPr>
      <w:r>
        <w:rPr>
          <w:rFonts w:ascii="Arial" w:hAnsi="Arial" w:cs="Arial" w:eastAsia="Arial"/>
          <w:b/>
          <w:color w:val="003366"/>
          <w:spacing w:val="0"/>
          <w:position w:val="0"/>
          <w:sz w:val="16"/>
          <w:shd w:fill="auto" w:val="clear"/>
        </w:rPr>
        <w:t xml:space="preserve">(Unidade-Disciplina-Trabalho)</w:t>
      </w:r>
    </w:p>
    <w:p>
      <w:pPr>
        <w:spacing w:before="0" w:after="0" w:line="240"/>
        <w:ind w:right="0" w:left="0" w:firstLine="0"/>
        <w:jc w:val="center"/>
        <w:rPr>
          <w:rFonts w:ascii="Arial" w:hAnsi="Arial" w:cs="Arial" w:eastAsia="Arial"/>
          <w:color w:val="003366"/>
          <w:spacing w:val="0"/>
          <w:position w:val="0"/>
          <w:sz w:val="36"/>
          <w:shd w:fill="auto" w:val="clear"/>
        </w:rPr>
      </w:pPr>
      <w:r>
        <w:rPr>
          <w:rFonts w:ascii="Arial" w:hAnsi="Arial" w:cs="Arial" w:eastAsia="Arial"/>
          <w:b/>
          <w:color w:val="003366"/>
          <w:spacing w:val="0"/>
          <w:position w:val="0"/>
          <w:sz w:val="36"/>
          <w:shd w:fill="auto" w:val="clear"/>
        </w:rPr>
        <w:t xml:space="preserve">Agência Fiduciária e de Administração de Projetos</w:t>
      </w:r>
    </w:p>
    <w:p>
      <w:pPr>
        <w:spacing w:before="0" w:after="0" w:line="240"/>
        <w:ind w:right="0" w:left="0" w:firstLine="0"/>
        <w:jc w:val="center"/>
        <w:rPr>
          <w:rFonts w:ascii="Arial" w:hAnsi="Arial" w:cs="Arial" w:eastAsia="Arial"/>
          <w:color w:val="003366"/>
          <w:spacing w:val="0"/>
          <w:position w:val="0"/>
          <w:sz w:val="40"/>
          <w:shd w:fill="auto" w:val="clear"/>
        </w:rPr>
      </w:pPr>
      <w:r>
        <w:rPr>
          <w:rFonts w:ascii="Arial" w:hAnsi="Arial" w:cs="Arial" w:eastAsia="Arial"/>
          <w:b/>
          <w:color w:val="003366"/>
          <w:spacing w:val="0"/>
          <w:position w:val="0"/>
          <w:sz w:val="40"/>
          <w:shd w:fill="auto" w:val="clear"/>
        </w:rPr>
        <w:t xml:space="preserve">Projeto Recuperação do Setor de Energia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Bookman Old Style" w:hAnsi="Bookman Old Style" w:cs="Bookman Old Style" w:eastAsia="Bookman Old Style"/>
          <w:color w:val="auto"/>
          <w:spacing w:val="-2"/>
          <w:position w:val="0"/>
          <w:sz w:val="26"/>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Bookman Old Style" w:hAnsi="Bookman Old Style" w:cs="Bookman Old Style" w:eastAsia="Bookman Old Style"/>
          <w:color w:val="auto"/>
          <w:spacing w:val="-2"/>
          <w:position w:val="0"/>
          <w:sz w:val="26"/>
          <w:shd w:fill="auto" w:val="clear"/>
        </w:rPr>
        <w:t xml:space="preserve"> </w:t>
      </w:r>
      <w:r>
        <w:rPr>
          <w:rFonts w:ascii="Bookman Old Style" w:hAnsi="Bookman Old Style" w:cs="Bookman Old Style" w:eastAsia="Bookman Old Style"/>
          <w:b/>
          <w:color w:val="auto"/>
          <w:spacing w:val="-2"/>
          <w:position w:val="0"/>
          <w:sz w:val="26"/>
          <w:u w:val="single"/>
          <w:shd w:fill="auto" w:val="clear"/>
        </w:rPr>
        <w:t xml:space="preserve">REQUEST FOR EXPRESSION OF INTEREST</w:t>
      </w:r>
    </w:p>
    <w:p>
      <w:pPr>
        <w:spacing w:before="0" w:after="0" w:line="240"/>
        <w:ind w:right="0" w:left="0" w:firstLine="0"/>
        <w:jc w:val="left"/>
        <w:rPr>
          <w:rFonts w:ascii="Bookman Old Style" w:hAnsi="Bookman Old Style" w:cs="Bookman Old Style" w:eastAsia="Bookman Old Style"/>
          <w:b/>
          <w:color w:val="auto"/>
          <w:spacing w:val="-2"/>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Bookman Old Style" w:hAnsi="Bookman Old Style" w:cs="Bookman Old Style" w:eastAsia="Bookman Old Style"/>
          <w:b/>
          <w:color w:val="auto"/>
          <w:spacing w:val="-2"/>
          <w:position w:val="0"/>
          <w:sz w:val="26"/>
          <w:shd w:fill="auto" w:val="clear"/>
        </w:rPr>
        <w:t xml:space="preserve">COUNTRY</w:t>
      </w:r>
      <w:r>
        <w:rPr>
          <w:rFonts w:ascii="Bookman Old Style" w:hAnsi="Bookman Old Style" w:cs="Bookman Old Style" w:eastAsia="Bookman Old Style"/>
          <w:color w:val="auto"/>
          <w:spacing w:val="-2"/>
          <w:position w:val="0"/>
          <w:sz w:val="26"/>
          <w:shd w:fill="auto" w:val="clear"/>
        </w:rPr>
        <w:t xml:space="preserve">: DEMOCRATIC REPUBLIC OF SAO TOME AND PRINCIPE</w:t>
      </w:r>
    </w:p>
    <w:p>
      <w:pPr>
        <w:spacing w:before="0" w:after="0" w:line="240"/>
        <w:ind w:right="0" w:left="0" w:firstLine="0"/>
        <w:jc w:val="left"/>
        <w:rPr>
          <w:rFonts w:ascii="Bookman Old Style" w:hAnsi="Bookman Old Style" w:cs="Bookman Old Style" w:eastAsia="Bookman Old Style"/>
          <w:b/>
          <w:color w:val="auto"/>
          <w:spacing w:val="-2"/>
          <w:position w:val="0"/>
          <w:sz w:val="26"/>
          <w:shd w:fill="auto" w:val="clear"/>
        </w:rPr>
      </w:pPr>
      <w:r>
        <w:rPr>
          <w:rFonts w:ascii="Bookman Old Style" w:hAnsi="Bookman Old Style" w:cs="Bookman Old Style" w:eastAsia="Bookman Old Style"/>
          <w:b/>
          <w:color w:val="auto"/>
          <w:spacing w:val="-2"/>
          <w:position w:val="0"/>
          <w:sz w:val="26"/>
          <w:shd w:fill="auto" w:val="clear"/>
        </w:rPr>
        <w:t xml:space="preserve">PROJECT</w:t>
      </w:r>
      <w:r>
        <w:rPr>
          <w:rFonts w:ascii="Bookman Old Style" w:hAnsi="Bookman Old Style" w:cs="Bookman Old Style" w:eastAsia="Bookman Old Style"/>
          <w:color w:val="auto"/>
          <w:spacing w:val="-2"/>
          <w:position w:val="0"/>
          <w:sz w:val="26"/>
          <w:shd w:fill="auto" w:val="clear"/>
        </w:rPr>
        <w:t xml:space="preserve">: POWER SECTOR RECOVERY </w:t>
      </w:r>
    </w:p>
    <w:p>
      <w:pPr>
        <w:spacing w:before="0" w:after="0" w:line="240"/>
        <w:ind w:right="0" w:left="0" w:firstLine="0"/>
        <w:jc w:val="left"/>
        <w:rPr>
          <w:rFonts w:ascii="Bookman Old Style" w:hAnsi="Bookman Old Style" w:cs="Bookman Old Style" w:eastAsia="Bookman Old Style"/>
          <w:b/>
          <w:color w:val="auto"/>
          <w:spacing w:val="-2"/>
          <w:position w:val="0"/>
          <w:sz w:val="26"/>
          <w:shd w:fill="auto" w:val="clear"/>
        </w:rPr>
      </w:pPr>
      <w:r>
        <w:rPr>
          <w:rFonts w:ascii="Bookman Old Style" w:hAnsi="Bookman Old Style" w:cs="Bookman Old Style" w:eastAsia="Bookman Old Style"/>
          <w:b/>
          <w:color w:val="auto"/>
          <w:spacing w:val="-2"/>
          <w:position w:val="0"/>
          <w:sz w:val="26"/>
          <w:shd w:fill="auto" w:val="clear"/>
        </w:rPr>
        <w:t xml:space="preserve">GRANTS Nº</w:t>
      </w:r>
      <w:r>
        <w:rPr>
          <w:rFonts w:ascii="Bookman Old Style" w:hAnsi="Bookman Old Style" w:cs="Bookman Old Style" w:eastAsia="Bookman Old Style"/>
          <w:color w:val="auto"/>
          <w:spacing w:val="-2"/>
          <w:position w:val="0"/>
          <w:sz w:val="26"/>
          <w:shd w:fill="auto" w:val="clear"/>
        </w:rPr>
        <w:t xml:space="preserve">: IDA D1260</w:t>
      </w:r>
    </w:p>
    <w:p>
      <w:pPr>
        <w:spacing w:before="0" w:after="0" w:line="240"/>
        <w:ind w:right="0" w:left="0" w:firstLine="0"/>
        <w:jc w:val="left"/>
        <w:rPr>
          <w:rFonts w:ascii="Bookman Old Style" w:hAnsi="Bookman Old Style" w:cs="Bookman Old Style" w:eastAsia="Bookman Old Style"/>
          <w:b/>
          <w:color w:val="auto"/>
          <w:spacing w:val="-2"/>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Bookman Old Style" w:hAnsi="Bookman Old Style" w:cs="Bookman Old Style" w:eastAsia="Bookman Old Style"/>
          <w:b/>
          <w:color w:val="auto"/>
          <w:spacing w:val="-2"/>
          <w:position w:val="0"/>
          <w:sz w:val="26"/>
          <w:shd w:fill="auto" w:val="clear"/>
        </w:rPr>
        <w:t xml:space="preserve">CONSULTING SERVICES</w:t>
      </w:r>
      <w:r>
        <w:rPr>
          <w:rFonts w:ascii="Bookman Old Style" w:hAnsi="Bookman Old Style" w:cs="Bookman Old Style" w:eastAsia="Bookman Old Style"/>
          <w:color w:val="auto"/>
          <w:spacing w:val="-2"/>
          <w:position w:val="0"/>
          <w:sz w:val="26"/>
          <w:shd w:fill="auto" w:val="clear"/>
        </w:rPr>
        <w:t xml:space="preserve">:</w:t>
      </w:r>
    </w:p>
    <w:p>
      <w:pPr>
        <w:spacing w:before="0" w:after="0" w:line="24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RECRUITMENT OF A HUMAN RESOURCE CONSULTANT TO SUPPORT THE SELECTION OF EMAE TOP LEVEL EXECUTIVE OFFICERS</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Bookman Old Style" w:hAnsi="Bookman Old Style" w:cs="Bookman Old Style" w:eastAsia="Bookman Old Style"/>
          <w:b/>
          <w:color w:val="auto"/>
          <w:spacing w:val="-2"/>
          <w:position w:val="0"/>
          <w:sz w:val="26"/>
          <w:shd w:fill="auto" w:val="clear"/>
        </w:rPr>
        <w:t xml:space="preserve">REFERENCE Nº 41/C/PSR/2019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The Government of the Democratic Republic of Sao Tome and Principe has received financing from the International Development Association (IDA) toward the cost of the Power Sector Recovery Project (PSR), and intends to apply part of the proceeds for consulting services.</w:t>
      </w:r>
    </w:p>
    <w:p>
      <w:pPr>
        <w:spacing w:before="0" w:after="0" w:line="240"/>
        <w:ind w:right="0" w:left="0" w:firstLine="0"/>
        <w:jc w:val="both"/>
        <w:rPr>
          <w:rFonts w:ascii="Bookman Old Style" w:hAnsi="Bookman Old Style" w:cs="Bookman Old Style" w:eastAsia="Bookman Old Style"/>
          <w:color w:val="auto"/>
          <w:spacing w:val="0"/>
          <w:position w:val="0"/>
          <w:sz w:val="26"/>
          <w:shd w:fill="auto" w:val="clear"/>
        </w:rPr>
      </w:pPr>
    </w:p>
    <w:p>
      <w:pPr>
        <w:spacing w:before="0" w:after="0" w:line="240"/>
        <w:ind w:right="0" w:left="0" w:firstLine="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The consulting services (“the services”), to be implemented between September and December 2019 include:</w:t>
      </w:r>
    </w:p>
    <w:p>
      <w:pPr>
        <w:spacing w:before="0" w:after="0" w:line="240"/>
        <w:ind w:right="0" w:left="0" w:firstLine="0"/>
        <w:jc w:val="both"/>
        <w:rPr>
          <w:rFonts w:ascii="Bookman Old Style" w:hAnsi="Bookman Old Style" w:cs="Bookman Old Style" w:eastAsia="Bookman Old Style"/>
          <w:color w:val="auto"/>
          <w:spacing w:val="0"/>
          <w:position w:val="0"/>
          <w:sz w:val="26"/>
          <w:shd w:fill="auto" w:val="clear"/>
        </w:rPr>
      </w:pPr>
    </w:p>
    <w:p>
      <w:pPr>
        <w:numPr>
          <w:ilvl w:val="0"/>
          <w:numId w:val="8"/>
        </w:numPr>
        <w:spacing w:before="0" w:after="0" w:line="240"/>
        <w:ind w:right="0" w:left="144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Review of the organizational structure of the company at the two top levels (Directors and Head of Departments), and propose amendments considered essential to improve operational performance, describing in detail the changes recommended and rationale supporting each of them;</w:t>
      </w:r>
    </w:p>
    <w:p>
      <w:pPr>
        <w:numPr>
          <w:ilvl w:val="0"/>
          <w:numId w:val="8"/>
        </w:numPr>
        <w:spacing w:before="0" w:after="0" w:line="240"/>
        <w:ind w:right="0" w:left="144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Elaborate the job description and qualification requirements for each position of the top management team (Directors and Head of Departments), in accordance with the organizational structure approved by EMAE;</w:t>
      </w:r>
    </w:p>
    <w:p>
      <w:pPr>
        <w:numPr>
          <w:ilvl w:val="0"/>
          <w:numId w:val="8"/>
        </w:numPr>
        <w:spacing w:before="0" w:after="0" w:line="240"/>
        <w:ind w:right="0" w:left="144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Propose the scope of the selection process for each position (within EMAE, open to external applicants in and/or outside the country) considering the characteristics of the position and the situation of the national and regional labor market;</w:t>
      </w:r>
    </w:p>
    <w:p>
      <w:pPr>
        <w:numPr>
          <w:ilvl w:val="0"/>
          <w:numId w:val="8"/>
        </w:numPr>
        <w:spacing w:before="0" w:after="0" w:line="240"/>
        <w:ind w:right="0" w:left="1440" w:hanging="72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Conduct a transparent and competitive selection process for each position, starting with request for applications and ending with a short list of three candidates for the position.</w:t>
      </w:r>
    </w:p>
    <w:p>
      <w:pPr>
        <w:spacing w:before="0" w:after="0" w:line="240"/>
        <w:ind w:right="0" w:left="799" w:firstLine="0"/>
        <w:jc w:val="both"/>
        <w:rPr>
          <w:rFonts w:ascii="Bookman Old Style" w:hAnsi="Bookman Old Style" w:cs="Bookman Old Style" w:eastAsia="Bookman Old Style"/>
          <w:color w:val="auto"/>
          <w:spacing w:val="0"/>
          <w:position w:val="0"/>
          <w:sz w:val="26"/>
          <w:shd w:fill="auto" w:val="clear"/>
        </w:rPr>
      </w:pPr>
    </w:p>
    <w:p>
      <w:pPr>
        <w:suppressAutoHyphens w:val="true"/>
        <w:spacing w:before="0" w:after="200" w:line="276"/>
        <w:ind w:right="0" w:left="0" w:firstLine="0"/>
        <w:jc w:val="both"/>
        <w:rPr>
          <w:rFonts w:ascii="Bookman Old Style" w:hAnsi="Bookman Old Style" w:cs="Bookman Old Style" w:eastAsia="Bookman Old Style"/>
          <w:color w:val="auto"/>
          <w:spacing w:val="-2"/>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The Project Administration and Fiduciary Agency (AFAP) now invites eligible consulting firms </w:t>
      </w:r>
      <w:r>
        <w:rPr>
          <w:rFonts w:ascii="Bookman Old Style" w:hAnsi="Bookman Old Style" w:cs="Bookman Old Style" w:eastAsia="Bookman Old Style"/>
          <w:color w:val="auto"/>
          <w:spacing w:val="-2"/>
          <w:position w:val="0"/>
          <w:sz w:val="26"/>
          <w:shd w:fill="auto" w:val="clear"/>
        </w:rPr>
        <w:t xml:space="preserve">(“Consultants”) to indicate their interest in providing the Services. Interested Consultants should provide information demonstrating that they have the required qualifications and relevant experience to perform the Services. The shortlisting criteria are: </w:t>
      </w:r>
    </w:p>
    <w:p>
      <w:pPr>
        <w:numPr>
          <w:ilvl w:val="0"/>
          <w:numId w:val="11"/>
        </w:numPr>
        <w:spacing w:before="0" w:after="0" w:line="240"/>
        <w:ind w:right="0" w:left="720" w:hanging="360"/>
        <w:jc w:val="both"/>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Must have at least 10-year-experience in organizational restructuring and competitive recruitment of top managers for public services companies, including at least 2 cases of companies with at least 50,000 customers;</w:t>
      </w:r>
    </w:p>
    <w:p>
      <w:pPr>
        <w:numPr>
          <w:ilvl w:val="0"/>
          <w:numId w:val="11"/>
        </w:numPr>
        <w:spacing w:before="0" w:after="0" w:line="240"/>
        <w:ind w:right="0" w:left="720" w:hanging="36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Must have at least 2 similar contracts in the last 5 years.</w:t>
      </w:r>
    </w:p>
    <w:p>
      <w:pPr>
        <w:spacing w:before="0" w:after="0" w:line="240"/>
        <w:ind w:right="0" w:left="0" w:firstLine="0"/>
        <w:jc w:val="both"/>
        <w:rPr>
          <w:rFonts w:ascii="Bookman Old Style" w:hAnsi="Bookman Old Style" w:cs="Bookman Old Style" w:eastAsia="Bookman Old Style"/>
          <w:color w:val="auto"/>
          <w:spacing w:val="0"/>
          <w:position w:val="0"/>
          <w:sz w:val="26"/>
          <w:shd w:fill="auto" w:val="clear"/>
        </w:rPr>
      </w:pPr>
    </w:p>
    <w:p>
      <w:pPr>
        <w:suppressAutoHyphens w:val="true"/>
        <w:spacing w:before="0" w:after="200" w:line="276"/>
        <w:ind w:right="0" w:left="0" w:firstLine="0"/>
        <w:jc w:val="both"/>
        <w:rPr>
          <w:rFonts w:ascii="Bookman Old Style" w:hAnsi="Bookman Old Style" w:cs="Bookman Old Style" w:eastAsia="Bookman Old Style"/>
          <w:color w:val="auto"/>
          <w:spacing w:val="-2"/>
          <w:position w:val="0"/>
          <w:sz w:val="26"/>
          <w:shd w:fill="auto" w:val="clear"/>
        </w:rPr>
      </w:pPr>
      <w:r>
        <w:rPr>
          <w:rFonts w:ascii="Bookman Old Style" w:hAnsi="Bookman Old Style" w:cs="Bookman Old Style" w:eastAsia="Bookman Old Style"/>
          <w:color w:val="auto"/>
          <w:spacing w:val="-2"/>
          <w:position w:val="0"/>
          <w:sz w:val="26"/>
          <w:shd w:fill="auto" w:val="clear"/>
        </w:rPr>
        <w:t xml:space="preserve">The attention of interested Consultants is drawn to paragraph 1.9 of the World Bank’s </w:t>
      </w:r>
      <w:r>
        <w:rPr>
          <w:rFonts w:ascii="Bookman Old Style" w:hAnsi="Bookman Old Style" w:cs="Bookman Old Style" w:eastAsia="Bookman Old Style"/>
          <w:i/>
          <w:color w:val="auto"/>
          <w:spacing w:val="-2"/>
          <w:position w:val="0"/>
          <w:sz w:val="26"/>
          <w:shd w:fill="auto" w:val="clear"/>
        </w:rPr>
        <w:t xml:space="preserve">Guidelines: Selection and Employment of Consultants [under IBRD Loans and IDA Credits &amp; Grants] by World Bank Borrowers</w:t>
      </w:r>
      <w:r>
        <w:rPr>
          <w:rFonts w:ascii="Bookman Old Style" w:hAnsi="Bookman Old Style" w:cs="Bookman Old Style" w:eastAsia="Bookman Old Style"/>
          <w:color w:val="auto"/>
          <w:spacing w:val="-2"/>
          <w:position w:val="0"/>
          <w:sz w:val="26"/>
          <w:shd w:fill="auto" w:val="clear"/>
        </w:rPr>
        <w:t xml:space="preserve"> dated January 2011, revised July 2014 and the provision stipulated on the Financial Agreement for the Project Preparation Advance (“Consultant Guidelines”), setting forth the World Bank’s policy on conflict of interest.</w:t>
      </w:r>
    </w:p>
    <w:p>
      <w:pPr>
        <w:suppressAutoHyphens w:val="true"/>
        <w:spacing w:before="0" w:after="200" w:line="276"/>
        <w:ind w:right="0" w:left="0" w:firstLine="0"/>
        <w:jc w:val="both"/>
        <w:rPr>
          <w:rFonts w:ascii="Bookman Old Style" w:hAnsi="Bookman Old Style" w:cs="Bookman Old Style" w:eastAsia="Bookman Old Style"/>
          <w:color w:val="auto"/>
          <w:spacing w:val="-2"/>
          <w:position w:val="0"/>
          <w:sz w:val="26"/>
          <w:shd w:fill="auto" w:val="clear"/>
        </w:rPr>
      </w:pPr>
      <w:r>
        <w:rPr>
          <w:rFonts w:ascii="Bookman Old Style" w:hAnsi="Bookman Old Style" w:cs="Bookman Old Style" w:eastAsia="Bookman Old Style"/>
          <w:color w:val="auto"/>
          <w:spacing w:val="-2"/>
          <w:position w:val="0"/>
          <w:sz w:val="26"/>
          <w:shd w:fill="auto" w:val="clear"/>
        </w:rPr>
        <w:t xml:space="preserve">Consultants may associate with other firms in the form of a joint venture or a sub consultancy to enhance their qualifications.</w:t>
      </w:r>
    </w:p>
    <w:p>
      <w:pPr>
        <w:spacing w:before="0" w:after="0" w:line="240"/>
        <w:ind w:right="72" w:left="0" w:firstLine="0"/>
        <w:jc w:val="both"/>
        <w:rPr>
          <w:rFonts w:ascii="Times New Roman" w:hAnsi="Times New Roman" w:cs="Times New Roman" w:eastAsia="Times New Roman"/>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 Consultant will be selected in accordance with the Selection based on the Consultants’ Qualification (CQS) method set out in the Consultants Guidelines.</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Further information can be obtained at the address below during office hours: </w:t>
      </w:r>
      <w:r>
        <w:rPr>
          <w:rFonts w:ascii="Bookman Old Style" w:hAnsi="Bookman Old Style" w:cs="Bookman Old Style" w:eastAsia="Bookman Old Style"/>
          <w:b/>
          <w:color w:val="auto"/>
          <w:spacing w:val="0"/>
          <w:position w:val="0"/>
          <w:sz w:val="26"/>
          <w:shd w:fill="auto" w:val="clear"/>
        </w:rPr>
        <w:t xml:space="preserve">8 to 12 and 15 to 17 hours (local time) Monday to Friday</w:t>
      </w:r>
      <w:r>
        <w:rPr>
          <w:rFonts w:ascii="Bookman Old Style" w:hAnsi="Bookman Old Style" w:cs="Bookman Old Style" w:eastAsia="Bookman Old Style"/>
          <w:color w:val="auto"/>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Expressions of interest must be delivered in a written form to the address below (in person, or by mail, or by fax, or by e-mail) by </w:t>
      </w:r>
      <w:r>
        <w:rPr>
          <w:rFonts w:ascii="Bookman Old Style" w:hAnsi="Bookman Old Style" w:cs="Bookman Old Style" w:eastAsia="Bookman Old Style"/>
          <w:b/>
          <w:color w:val="auto"/>
          <w:spacing w:val="0"/>
          <w:position w:val="0"/>
          <w:sz w:val="26"/>
          <w:shd w:fill="auto" w:val="clear"/>
        </w:rPr>
        <w:t xml:space="preserve">August 13, 2019</w:t>
      </w:r>
      <w:r>
        <w:rPr>
          <w:rFonts w:ascii="Bookman Old Style" w:hAnsi="Bookman Old Style" w:cs="Bookman Old Style" w:eastAsia="Bookman Old Style"/>
          <w:color w:val="auto"/>
          <w:spacing w:val="0"/>
          <w:position w:val="0"/>
          <w:sz w:val="26"/>
          <w:shd w:fill="auto" w:val="clear"/>
        </w:rPr>
        <w:t xml:space="preserve">.</w:t>
      </w:r>
    </w:p>
    <w:p>
      <w:pPr>
        <w:spacing w:before="0" w:after="0" w:line="240"/>
        <w:ind w:right="0" w:left="0" w:firstLine="0"/>
        <w:jc w:val="left"/>
        <w:rPr>
          <w:rFonts w:ascii="Bookman Old Style" w:hAnsi="Bookman Old Style" w:cs="Bookman Old Style" w:eastAsia="Bookman Old Style"/>
          <w:color w:val="auto"/>
          <w:spacing w:val="0"/>
          <w:position w:val="0"/>
          <w:sz w:val="26"/>
          <w:shd w:fill="auto" w:val="clear"/>
        </w:rPr>
      </w:pPr>
    </w:p>
    <w:p>
      <w:pPr>
        <w:spacing w:before="0" w:after="0" w:line="24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Agencia Fiduciária e Administração de Projetos</w:t>
      </w:r>
    </w:p>
    <w:p>
      <w:pPr>
        <w:spacing w:before="0" w:after="0" w:line="24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Caixa Postal 1029 </w:t>
      </w:r>
    </w:p>
    <w:p>
      <w:pPr>
        <w:spacing w:before="0" w:after="0" w:line="24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Edifício do Afriland First Bank, 2º Andar</w:t>
      </w:r>
    </w:p>
    <w:p>
      <w:pPr>
        <w:spacing w:before="0" w:after="0" w:line="24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S. Tome</w:t>
      </w:r>
    </w:p>
    <w:p>
      <w:pPr>
        <w:spacing w:before="0" w:after="0" w:line="24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S. Tomé e Príncipe</w:t>
      </w:r>
    </w:p>
    <w:p>
      <w:pPr>
        <w:spacing w:before="0" w:after="0" w:line="24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Phone.: + 239 222 52 05</w:t>
      </w:r>
    </w:p>
    <w:p>
      <w:pPr>
        <w:spacing w:before="0" w:after="0" w:line="24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E-mail: </w:t>
      </w:r>
      <w:hyperlink xmlns:r="http://schemas.openxmlformats.org/officeDocument/2006/relationships" r:id="docRId2">
        <w:r>
          <w:rPr>
            <w:rFonts w:ascii="Bookman Old Style" w:hAnsi="Bookman Old Style" w:cs="Bookman Old Style" w:eastAsia="Bookman Old Style"/>
            <w:color w:val="0000FF"/>
            <w:spacing w:val="0"/>
            <w:position w:val="0"/>
            <w:sz w:val="26"/>
            <w:u w:val="single"/>
            <w:shd w:fill="auto" w:val="clear"/>
          </w:rPr>
          <w:t xml:space="preserve">afap2@Yahoo.com.br</w:t>
        </w:r>
      </w:hyperlink>
    </w:p>
    <w:p>
      <w:pPr>
        <w:spacing w:before="0" w:after="0" w:line="240"/>
        <w:ind w:right="0" w:left="0" w:firstLine="0"/>
        <w:jc w:val="left"/>
        <w:rPr>
          <w:rFonts w:ascii="Bookman Old Style" w:hAnsi="Bookman Old Style" w:cs="Bookman Old Style" w:eastAsia="Bookman Old Style"/>
          <w:color w:val="auto"/>
          <w:spacing w:val="0"/>
          <w:position w:val="0"/>
          <w:sz w:val="26"/>
          <w:shd w:fill="auto" w:val="clear"/>
        </w:rPr>
      </w:pPr>
      <w:r>
        <w:rPr>
          <w:rFonts w:ascii="Bookman Old Style" w:hAnsi="Bookman Old Style" w:cs="Bookman Old Style" w:eastAsia="Bookman Old Style"/>
          <w:color w:val="auto"/>
          <w:spacing w:val="0"/>
          <w:position w:val="0"/>
          <w:sz w:val="26"/>
          <w:shd w:fill="auto" w:val="clear"/>
        </w:rPr>
        <w:t xml:space="preserve">           </w:t>
      </w:r>
      <w:hyperlink xmlns:r="http://schemas.openxmlformats.org/officeDocument/2006/relationships" r:id="docRId3">
        <w:r>
          <w:rPr>
            <w:rFonts w:ascii="Bookman Old Style" w:hAnsi="Bookman Old Style" w:cs="Bookman Old Style" w:eastAsia="Bookman Old Style"/>
            <w:color w:val="0000FF"/>
            <w:spacing w:val="0"/>
            <w:position w:val="0"/>
            <w:sz w:val="26"/>
            <w:u w:val="single"/>
            <w:shd w:fill="auto" w:val="clear"/>
          </w:rPr>
          <w:t xml:space="preserve">horacio.dias@afap.st </w:t>
        </w:r>
      </w:hyperlink>
    </w:p>
    <w:p>
      <w:pPr>
        <w:spacing w:before="0" w:after="0" w:line="240"/>
        <w:ind w:right="0" w:left="0" w:firstLine="0"/>
        <w:jc w:val="left"/>
        <w:rPr>
          <w:rFonts w:ascii="Calibri" w:hAnsi="Calibri" w:cs="Calibri" w:eastAsia="Calibri"/>
          <w:color w:val="auto"/>
          <w:spacing w:val="0"/>
          <w:position w:val="0"/>
          <w:sz w:val="2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horacio.dias@afap.st%20"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mailto:afap2@Yahoo.com.br" Id="docRId2" Type="http://schemas.openxmlformats.org/officeDocument/2006/relationships/hyperlink" /><Relationship Target="numbering.xml" Id="docRId4" Type="http://schemas.openxmlformats.org/officeDocument/2006/relationships/numbering" /></Relationships>
</file>