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keepNext w:val="true"/>
        <w:keepLines w:val="true"/>
        <w:spacing w:before="40" w:after="0" w:line="240"/>
        <w:ind w:right="0" w:left="0" w:firstLine="0"/>
        <w:jc w:val="left"/>
        <w:rPr>
          <w:rFonts w:ascii="Arial" w:hAnsi="Arial" w:cs="Arial" w:eastAsia="Arial"/>
          <w:b/>
          <w:color w:val="272727"/>
          <w:spacing w:val="0"/>
          <w:position w:val="0"/>
          <w:sz w:val="48"/>
          <w:shd w:fill="auto" w:val="clear"/>
        </w:rPr>
      </w:pPr>
      <w:r>
        <w:object w:dxaOrig="792" w:dyaOrig="691">
          <v:rect xmlns:o="urn:schemas-microsoft-com:office:office" xmlns:v="urn:schemas-microsoft-com:vml" id="rectole0000000000" style="width:39.600000pt;height:34.55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keepNext w:val="true"/>
        <w:keepLines w:val="true"/>
        <w:spacing w:before="0" w:after="0" w:line="240"/>
        <w:ind w:right="0" w:left="0" w:firstLine="0"/>
        <w:jc w:val="left"/>
        <w:rPr>
          <w:rFonts w:ascii="Arial" w:hAnsi="Arial" w:cs="Arial" w:eastAsia="Arial"/>
          <w:b/>
          <w:i/>
          <w:color w:val="003366"/>
          <w:spacing w:val="0"/>
          <w:position w:val="0"/>
          <w:sz w:val="32"/>
          <w:shd w:fill="auto" w:val="clear"/>
        </w:rPr>
      </w:pPr>
      <w:r>
        <w:rPr>
          <w:rFonts w:ascii="Arial" w:hAnsi="Arial" w:cs="Arial" w:eastAsia="Arial"/>
          <w:b/>
          <w:color w:val="272727"/>
          <w:spacing w:val="0"/>
          <w:position w:val="0"/>
          <w:sz w:val="32"/>
          <w:shd w:fill="auto" w:val="clear"/>
        </w:rPr>
        <w:t xml:space="preserve">       </w:t>
      </w:r>
      <w:r>
        <w:rPr>
          <w:rFonts w:ascii="Arial" w:hAnsi="Arial" w:cs="Arial" w:eastAsia="Arial"/>
          <w:b/>
          <w:color w:val="003366"/>
          <w:spacing w:val="0"/>
          <w:position w:val="0"/>
          <w:sz w:val="32"/>
          <w:shd w:fill="auto" w:val="clear"/>
        </w:rPr>
        <w:t xml:space="preserve">República Democrática             de São Tomé e Príncipe</w:t>
      </w:r>
    </w:p>
    <w:p>
      <w:pPr>
        <w:spacing w:before="0" w:after="0" w:line="259"/>
        <w:ind w:right="0" w:left="0" w:firstLine="0"/>
        <w:jc w:val="center"/>
        <w:rPr>
          <w:rFonts w:ascii="Arial" w:hAnsi="Arial" w:cs="Arial" w:eastAsia="Arial"/>
          <w:b/>
          <w:color w:val="003366"/>
          <w:spacing w:val="0"/>
          <w:position w:val="0"/>
          <w:sz w:val="22"/>
          <w:shd w:fill="auto" w:val="clear"/>
        </w:rPr>
      </w:pPr>
    </w:p>
    <w:p>
      <w:pPr>
        <w:spacing w:before="0" w:after="0" w:line="259"/>
        <w:ind w:right="0" w:left="0" w:firstLine="0"/>
        <w:jc w:val="center"/>
        <w:rPr>
          <w:rFonts w:ascii="Arial" w:hAnsi="Arial" w:cs="Arial" w:eastAsia="Arial"/>
          <w:b/>
          <w:color w:val="003366"/>
          <w:spacing w:val="0"/>
          <w:position w:val="0"/>
          <w:sz w:val="32"/>
          <w:shd w:fill="auto" w:val="clear"/>
        </w:rPr>
      </w:pPr>
      <w:r>
        <w:rPr>
          <w:rFonts w:ascii="Arial" w:hAnsi="Arial" w:cs="Arial" w:eastAsia="Arial"/>
          <w:b/>
          <w:color w:val="003366"/>
          <w:spacing w:val="0"/>
          <w:position w:val="0"/>
          <w:sz w:val="32"/>
          <w:shd w:fill="auto" w:val="clear"/>
        </w:rPr>
        <w:t xml:space="preserve">Ministério do Planeamento, Finanças e Economia Azul</w:t>
      </w:r>
    </w:p>
    <w:p>
      <w:pPr>
        <w:spacing w:before="0" w:after="0" w:line="259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(Unidade 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–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 Disciplina - Trabalho)</w:t>
      </w:r>
    </w:p>
    <w:p>
      <w:pPr>
        <w:spacing w:before="0" w:after="0" w:line="259"/>
        <w:ind w:right="0" w:left="0" w:firstLine="0"/>
        <w:jc w:val="center"/>
        <w:rPr>
          <w:rFonts w:ascii="Arial" w:hAnsi="Arial" w:cs="Arial" w:eastAsia="Arial"/>
          <w:color w:val="003366"/>
          <w:spacing w:val="0"/>
          <w:position w:val="0"/>
          <w:sz w:val="36"/>
          <w:shd w:fill="auto" w:val="clear"/>
        </w:rPr>
      </w:pPr>
      <w:r>
        <w:rPr>
          <w:rFonts w:ascii="Arial" w:hAnsi="Arial" w:cs="Arial" w:eastAsia="Arial"/>
          <w:b/>
          <w:color w:val="003366"/>
          <w:spacing w:val="0"/>
          <w:position w:val="0"/>
          <w:sz w:val="36"/>
          <w:shd w:fill="auto" w:val="clear"/>
        </w:rPr>
        <w:t xml:space="preserve">Agência Fiduciária de Administração de Projetos</w:t>
      </w:r>
    </w:p>
    <w:p>
      <w:pPr>
        <w:spacing w:before="0" w:after="0" w:line="259"/>
        <w:ind w:right="0" w:left="0" w:firstLine="0"/>
        <w:jc w:val="center"/>
        <w:rPr>
          <w:rFonts w:ascii="Arial" w:hAnsi="Arial" w:cs="Arial" w:eastAsia="Arial"/>
          <w:b/>
          <w:color w:val="003366"/>
          <w:spacing w:val="0"/>
          <w:position w:val="0"/>
          <w:sz w:val="36"/>
          <w:shd w:fill="auto" w:val="clear"/>
        </w:rPr>
      </w:pPr>
      <w:r>
        <w:rPr>
          <w:rFonts w:ascii="Arial" w:hAnsi="Arial" w:cs="Arial" w:eastAsia="Arial"/>
          <w:b/>
          <w:color w:val="003366"/>
          <w:spacing w:val="0"/>
          <w:position w:val="0"/>
          <w:sz w:val="36"/>
          <w:shd w:fill="auto" w:val="clear"/>
        </w:rPr>
        <w:t xml:space="preserve">Projeto Resposta de Emergência à COVID-19</w:t>
      </w:r>
    </w:p>
    <w:p>
      <w:pPr>
        <w:spacing w:before="100" w:after="300" w:line="240"/>
        <w:ind w:right="0" w:left="0" w:firstLine="0"/>
        <w:jc w:val="center"/>
        <w:rPr>
          <w:rFonts w:ascii="Arial" w:hAnsi="Arial" w:cs="Arial" w:eastAsia="Arial"/>
          <w:color w:val="505050"/>
          <w:spacing w:val="0"/>
          <w:position w:val="0"/>
          <w:sz w:val="32"/>
          <w:shd w:fill="auto" w:val="clear"/>
        </w:rPr>
      </w:pPr>
      <w:r>
        <w:rPr>
          <w:rFonts w:ascii="Arial" w:hAnsi="Arial" w:cs="Arial" w:eastAsia="Arial"/>
          <w:b/>
          <w:color w:val="505050"/>
          <w:spacing w:val="0"/>
          <w:position w:val="0"/>
          <w:sz w:val="32"/>
          <w:shd w:fill="auto" w:val="clear"/>
        </w:rPr>
        <w:t xml:space="preserve">SOLICITAÇÃO DE MANIFESTAÇÃO DE INTERESSE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505050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505050"/>
          <w:spacing w:val="0"/>
          <w:position w:val="0"/>
          <w:sz w:val="26"/>
          <w:shd w:fill="auto" w:val="clear"/>
        </w:rPr>
        <w:t xml:space="preserve">SERVIÇO DE CONSULTORIA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505050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505050"/>
          <w:spacing w:val="0"/>
          <w:position w:val="0"/>
          <w:sz w:val="26"/>
          <w:shd w:fill="auto" w:val="clear"/>
        </w:rPr>
        <w:t xml:space="preserve">TÍTULO: Técnico de Monitorização e Avaliação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 </w:t>
      </w:r>
    </w:p>
    <w:p>
      <w:pPr>
        <w:spacing w:before="0" w:after="0" w:line="259"/>
        <w:ind w:right="0" w:left="0" w:firstLine="0"/>
        <w:jc w:val="both"/>
        <w:rPr>
          <w:rFonts w:ascii="Times New Roman" w:hAnsi="Times New Roman" w:cs="Times New Roman" w:eastAsia="Times New Roman"/>
          <w:b/>
          <w:color w:val="656565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505050"/>
          <w:spacing w:val="0"/>
          <w:position w:val="0"/>
          <w:sz w:val="26"/>
          <w:shd w:fill="auto" w:val="clear"/>
        </w:rPr>
        <w:t xml:space="preserve">DONATIVO: </w:t>
      </w:r>
      <w:r>
        <w:rPr>
          <w:rFonts w:ascii="Times New Roman" w:hAnsi="Times New Roman" w:cs="Times New Roman" w:eastAsia="Times New Roman"/>
          <w:b/>
          <w:color w:val="656565"/>
          <w:spacing w:val="0"/>
          <w:position w:val="0"/>
          <w:sz w:val="26"/>
          <w:shd w:fill="auto" w:val="clear"/>
        </w:rPr>
        <w:t xml:space="preserve">IDA-D6060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505050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505050"/>
          <w:spacing w:val="0"/>
          <w:position w:val="0"/>
          <w:sz w:val="26"/>
          <w:shd w:fill="auto" w:val="clear"/>
        </w:rPr>
        <w:t xml:space="preserve">A República Democrática de São Tomé e Príncipe obteve um donativo da Associação Internacional para o Desenvolvimento (IDA) para a implementação do Projeto Resposta de Emergência à COVID - 19 e pretende utilizar parte deste montante para a contratação de um </w:t>
      </w:r>
      <w:r>
        <w:rPr>
          <w:rFonts w:ascii="Times New Roman" w:hAnsi="Times New Roman" w:cs="Times New Roman" w:eastAsia="Times New Roman"/>
          <w:b/>
          <w:color w:val="505050"/>
          <w:spacing w:val="0"/>
          <w:position w:val="0"/>
          <w:sz w:val="26"/>
          <w:shd w:fill="auto" w:val="clear"/>
        </w:rPr>
        <w:t xml:space="preserve">Técnico de Monitorização e Avaliação</w:t>
      </w:r>
      <w:r>
        <w:rPr>
          <w:rFonts w:ascii="Times New Roman" w:hAnsi="Times New Roman" w:cs="Times New Roman" w:eastAsia="Times New Roman"/>
          <w:color w:val="505050"/>
          <w:spacing w:val="0"/>
          <w:position w:val="0"/>
          <w:sz w:val="26"/>
          <w:shd w:fill="auto" w:val="clear"/>
        </w:rPr>
        <w:t xml:space="preserve">.</w:t>
      </w:r>
    </w:p>
    <w:p>
      <w:pPr>
        <w:spacing w:before="10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505050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505050"/>
          <w:spacing w:val="0"/>
          <w:position w:val="0"/>
          <w:sz w:val="26"/>
          <w:shd w:fill="auto" w:val="clear"/>
        </w:rPr>
        <w:t xml:space="preserve">Os candidatos devem ter o seguinte perfil:</w:t>
      </w:r>
    </w:p>
    <w:p>
      <w:pPr>
        <w:numPr>
          <w:ilvl w:val="0"/>
          <w:numId w:val="10"/>
        </w:numPr>
        <w:spacing w:before="100" w:after="100" w:line="240"/>
        <w:ind w:right="0" w:left="720" w:hanging="360"/>
        <w:jc w:val="both"/>
        <w:rPr>
          <w:rFonts w:ascii="Times New Roman" w:hAnsi="Times New Roman" w:cs="Times New Roman" w:eastAsia="Times New Roman"/>
          <w:color w:val="505050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Ter concluído formação de nível superior (licenciatura) em matemática, estatística, gestão, administração pública/empresas, ciências sociais, epidemiologia de campo ou outra área de Saúde relevante para M&amp;A em Saúde Pública;</w:t>
      </w:r>
    </w:p>
    <w:p>
      <w:pPr>
        <w:numPr>
          <w:ilvl w:val="0"/>
          <w:numId w:val="10"/>
        </w:numPr>
        <w:spacing w:before="100" w:after="100" w:line="240"/>
        <w:ind w:right="0" w:left="720" w:hanging="360"/>
        <w:jc w:val="both"/>
        <w:rPr>
          <w:rFonts w:ascii="Times New Roman" w:hAnsi="Times New Roman" w:cs="Times New Roman" w:eastAsia="Times New Roman"/>
          <w:color w:val="505050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Mínimo de 5 anos de experiência em posições de monitoria e avaliação ou em gestão de implementação de projetos em Saúde Pública em S. Tomé e Príncipe;</w:t>
      </w:r>
    </w:p>
    <w:p>
      <w:pPr>
        <w:numPr>
          <w:ilvl w:val="0"/>
          <w:numId w:val="10"/>
        </w:numPr>
        <w:spacing w:before="100" w:after="100" w:line="240"/>
        <w:ind w:right="0" w:left="720" w:hanging="360"/>
        <w:jc w:val="both"/>
        <w:rPr>
          <w:rFonts w:ascii="Times New Roman" w:hAnsi="Times New Roman" w:cs="Times New Roman" w:eastAsia="Times New Roman"/>
          <w:color w:val="505050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Formação em sistemas de M&amp;A é uma mais valia;</w:t>
      </w:r>
    </w:p>
    <w:p>
      <w:pPr>
        <w:numPr>
          <w:ilvl w:val="0"/>
          <w:numId w:val="10"/>
        </w:numPr>
        <w:spacing w:before="100" w:after="100" w:line="240"/>
        <w:ind w:right="0" w:left="720" w:hanging="360"/>
        <w:jc w:val="both"/>
        <w:rPr>
          <w:rFonts w:ascii="Times New Roman" w:hAnsi="Times New Roman" w:cs="Times New Roman" w:eastAsia="Times New Roman"/>
          <w:color w:val="505050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Trabalho e colaboração na implementação de projetos em colaboração com agências doadoras (eg. Banco Mundial) são uma mais valia;</w:t>
      </w:r>
    </w:p>
    <w:p>
      <w:pPr>
        <w:numPr>
          <w:ilvl w:val="0"/>
          <w:numId w:val="10"/>
        </w:numPr>
        <w:spacing w:before="100" w:after="100" w:line="240"/>
        <w:ind w:right="0" w:left="720" w:hanging="360"/>
        <w:jc w:val="both"/>
        <w:rPr>
          <w:rFonts w:ascii="Times New Roman" w:hAnsi="Times New Roman" w:cs="Times New Roman" w:eastAsia="Times New Roman"/>
          <w:color w:val="505050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Conhecimento e experiência de aplicações e ferramentas de Office baseados em ICT’s (processamento de texto, planilhas e processamento de dados em Excel, Epi Info, PowerPoint);</w:t>
      </w:r>
    </w:p>
    <w:p>
      <w:pPr>
        <w:numPr>
          <w:ilvl w:val="0"/>
          <w:numId w:val="10"/>
        </w:numPr>
        <w:spacing w:before="100" w:after="100" w:line="240"/>
        <w:ind w:right="0" w:left="720" w:hanging="360"/>
        <w:jc w:val="both"/>
        <w:rPr>
          <w:rFonts w:ascii="Times New Roman" w:hAnsi="Times New Roman" w:cs="Times New Roman" w:eastAsia="Times New Roman"/>
          <w:color w:val="505050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Possuir conhecimento e entendimento comprovados de planificação, coordenação, e implementação de projetos, e boa capacidade analítica;</w:t>
      </w:r>
    </w:p>
    <w:p>
      <w:pPr>
        <w:numPr>
          <w:ilvl w:val="0"/>
          <w:numId w:val="10"/>
        </w:numPr>
        <w:spacing w:before="100" w:after="100" w:line="240"/>
        <w:ind w:right="0" w:left="720" w:hanging="360"/>
        <w:jc w:val="both"/>
        <w:rPr>
          <w:rFonts w:ascii="Times New Roman" w:hAnsi="Times New Roman" w:cs="Times New Roman" w:eastAsia="Times New Roman"/>
          <w:color w:val="505050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Excelente domínio da língua Portuguesa e capacidade de comunicação em inglês e /ou francês</w:t>
      </w:r>
    </w:p>
    <w:p>
      <w:pPr>
        <w:spacing w:before="100" w:after="100" w:line="259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  <w:t xml:space="preserve">Chama-se a atenção dos consultores interessados para a Seção III, parágrafos, 3.14, 3.16 e 3.17 do "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“Procurement Regulations for IPF Borrowers ” dated July 2016 and revised in November 2017 and August 2018 (“Procurement Regulations”) do Banco mundial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  <w:t xml:space="preserve">), que regula a política de conflito de interesses do Banco Mundial.</w:t>
      </w:r>
    </w:p>
    <w:p>
      <w:pPr>
        <w:spacing w:before="10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505050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505050"/>
          <w:spacing w:val="0"/>
          <w:position w:val="0"/>
          <w:sz w:val="26"/>
          <w:shd w:fill="auto" w:val="clear"/>
        </w:rPr>
        <w:t xml:space="preserve">Um </w:t>
      </w:r>
      <w:r>
        <w:rPr>
          <w:rFonts w:ascii="Times New Roman" w:hAnsi="Times New Roman" w:cs="Times New Roman" w:eastAsia="Times New Roman"/>
          <w:b/>
          <w:color w:val="505050"/>
          <w:spacing w:val="0"/>
          <w:position w:val="0"/>
          <w:sz w:val="26"/>
          <w:shd w:fill="auto" w:val="clear"/>
        </w:rPr>
        <w:t xml:space="preserve">Consultor individual</w:t>
      </w:r>
      <w:r>
        <w:rPr>
          <w:rFonts w:ascii="Times New Roman" w:hAnsi="Times New Roman" w:cs="Times New Roman" w:eastAsia="Times New Roman"/>
          <w:color w:val="505050"/>
          <w:spacing w:val="0"/>
          <w:position w:val="0"/>
          <w:sz w:val="26"/>
          <w:shd w:fill="auto" w:val="clear"/>
        </w:rPr>
        <w:t xml:space="preserve"> será selecionado em conformidade com os procedimentos estabelecidos nos </w:t>
      </w:r>
      <w:r>
        <w:rPr>
          <w:rFonts w:ascii="Times New Roman" w:hAnsi="Times New Roman" w:cs="Times New Roman" w:eastAsia="Times New Roman"/>
          <w:b/>
          <w:color w:val="505050"/>
          <w:spacing w:val="0"/>
          <w:position w:val="0"/>
          <w:sz w:val="26"/>
          <w:shd w:fill="auto" w:val="clear"/>
        </w:rPr>
        <w:t xml:space="preserve">Regulamentos de Licitações para os Mutuários dos Projetos de Investimentos financiados Banco Mundial (Edição corrente)</w:t>
      </w:r>
      <w:r>
        <w:rPr>
          <w:rFonts w:ascii="Times New Roman" w:hAnsi="Times New Roman" w:cs="Times New Roman" w:eastAsia="Times New Roman"/>
          <w:color w:val="505050"/>
          <w:spacing w:val="0"/>
          <w:position w:val="0"/>
          <w:sz w:val="26"/>
          <w:shd w:fill="auto" w:val="clear"/>
        </w:rPr>
        <w:t xml:space="preserve">.</w:t>
      </w:r>
    </w:p>
    <w:p>
      <w:pPr>
        <w:spacing w:before="10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505050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505050"/>
          <w:spacing w:val="0"/>
          <w:position w:val="0"/>
          <w:sz w:val="26"/>
          <w:shd w:fill="auto" w:val="clear"/>
        </w:rPr>
        <w:t xml:space="preserve">O interesse deve ser manifestado através do envio de Carta de Intenção, Curriculum Vitae e dos comprovativos das formações e aptidões em carta ou </w:t>
      </w:r>
      <w:r>
        <w:rPr>
          <w:rFonts w:ascii="Times New Roman" w:hAnsi="Times New Roman" w:cs="Times New Roman" w:eastAsia="Times New Roman"/>
          <w:b/>
          <w:color w:val="505050"/>
          <w:spacing w:val="0"/>
          <w:position w:val="0"/>
          <w:sz w:val="26"/>
          <w:shd w:fill="auto" w:val="clear"/>
        </w:rPr>
        <w:t xml:space="preserve">e-mail ao Diretor Geral da AFAP,</w:t>
      </w:r>
      <w:r>
        <w:rPr>
          <w:rFonts w:ascii="Times New Roman" w:hAnsi="Times New Roman" w:cs="Times New Roman" w:eastAsia="Times New Roman"/>
          <w:color w:val="505050"/>
          <w:spacing w:val="0"/>
          <w:position w:val="0"/>
          <w:sz w:val="2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505050"/>
          <w:spacing w:val="0"/>
          <w:position w:val="0"/>
          <w:sz w:val="26"/>
          <w:shd w:fill="auto" w:val="clear"/>
        </w:rPr>
        <w:t xml:space="preserve">até as 17 horas do dia 01 de junho de 2020</w:t>
      </w:r>
      <w:r>
        <w:rPr>
          <w:rFonts w:ascii="Times New Roman" w:hAnsi="Times New Roman" w:cs="Times New Roman" w:eastAsia="Times New Roman"/>
          <w:color w:val="505050"/>
          <w:spacing w:val="0"/>
          <w:position w:val="0"/>
          <w:sz w:val="26"/>
          <w:shd w:fill="auto" w:val="clear"/>
        </w:rPr>
        <w:t xml:space="preserve"> para o endereço abaixo indicado.</w:t>
      </w:r>
    </w:p>
    <w:p>
      <w:pPr>
        <w:spacing w:before="10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505050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505050"/>
          <w:spacing w:val="0"/>
          <w:position w:val="0"/>
          <w:sz w:val="26"/>
          <w:shd w:fill="auto" w:val="clear"/>
        </w:rPr>
        <w:t xml:space="preserve">Os candidatos interessados poderão obter informações complementares nos dias úteis, das 9h00 às 13h30, no mesmo endereço.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505050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505050"/>
          <w:spacing w:val="0"/>
          <w:position w:val="0"/>
          <w:sz w:val="26"/>
          <w:shd w:fill="auto" w:val="clear"/>
        </w:rPr>
        <w:t xml:space="preserve">Agência Fiduciária de Administração de Projetos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505050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505050"/>
          <w:spacing w:val="0"/>
          <w:position w:val="0"/>
          <w:sz w:val="26"/>
          <w:shd w:fill="auto" w:val="clear"/>
        </w:rPr>
        <w:t xml:space="preserve">Caixa Postal 1029,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505050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505050"/>
          <w:spacing w:val="0"/>
          <w:position w:val="0"/>
          <w:sz w:val="26"/>
          <w:shd w:fill="auto" w:val="clear"/>
        </w:rPr>
        <w:t xml:space="preserve">Edifício do Afriland First Bank, 2º Andar.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505050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505050"/>
          <w:spacing w:val="0"/>
          <w:position w:val="0"/>
          <w:sz w:val="26"/>
          <w:shd w:fill="auto" w:val="clear"/>
        </w:rPr>
        <w:t xml:space="preserve">Avenida Kwame Nkrumah, S. Tomé,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505050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505050"/>
          <w:spacing w:val="0"/>
          <w:position w:val="0"/>
          <w:sz w:val="26"/>
          <w:shd w:fill="auto" w:val="clear"/>
        </w:rPr>
        <w:t xml:space="preserve">S. Tomé e Príncipe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505050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505050"/>
          <w:spacing w:val="0"/>
          <w:position w:val="0"/>
          <w:sz w:val="26"/>
          <w:shd w:fill="auto" w:val="clear"/>
        </w:rPr>
        <w:t xml:space="preserve">Telefone.: + 239 222 52 05; </w:t>
      </w:r>
      <w:r>
        <w:rPr>
          <w:rFonts w:ascii="Times New Roman" w:hAnsi="Times New Roman" w:cs="Times New Roman" w:eastAsia="Times New Roman"/>
          <w:b/>
          <w:color w:val="505050"/>
          <w:spacing w:val="0"/>
          <w:position w:val="0"/>
          <w:sz w:val="26"/>
          <w:shd w:fill="auto" w:val="clear"/>
        </w:rPr>
        <w:t xml:space="preserve">+ 239 989 8240; + 239 990 4808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505050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505050"/>
          <w:spacing w:val="0"/>
          <w:position w:val="0"/>
          <w:sz w:val="26"/>
          <w:shd w:fill="auto" w:val="clear"/>
        </w:rPr>
        <w:t xml:space="preserve">E-mail: </w:t>
      </w:r>
      <w:hyperlink xmlns:r="http://schemas.openxmlformats.org/officeDocument/2006/relationships" r:id="docRId2">
        <w:r>
          <w:rPr>
            <w:rFonts w:ascii="Times New Roman" w:hAnsi="Times New Roman" w:cs="Times New Roman" w:eastAsia="Times New Roman"/>
            <w:color w:val="0563C1"/>
            <w:spacing w:val="0"/>
            <w:position w:val="0"/>
            <w:sz w:val="26"/>
            <w:u w:val="single"/>
            <w:shd w:fill="auto" w:val="clear"/>
          </w:rPr>
          <w:t xml:space="preserve">afap2@yahoo.com.br</w:t>
        </w:r>
      </w:hyperlink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505050"/>
          <w:spacing w:val="0"/>
          <w:position w:val="0"/>
          <w:sz w:val="26"/>
          <w:shd w:fill="auto" w:val="clear"/>
        </w:rPr>
        <w:t xml:space="preserve">            </w:t>
      </w:r>
      <w:hyperlink xmlns:r="http://schemas.openxmlformats.org/officeDocument/2006/relationships" r:id="docRId3">
        <w:r>
          <w:rPr>
            <w:rFonts w:ascii="Times New Roman" w:hAnsi="Times New Roman" w:cs="Times New Roman" w:eastAsia="Times New Roman"/>
            <w:color w:val="0563C1"/>
            <w:spacing w:val="0"/>
            <w:position w:val="0"/>
            <w:sz w:val="26"/>
            <w:u w:val="single"/>
            <w:shd w:fill="auto" w:val="clear"/>
          </w:rPr>
          <w:t xml:space="preserve">horacio.dias@afap.st</w:t>
        </w:r>
      </w:hyperlink>
      <w:r>
        <w:rPr>
          <w:rFonts w:ascii="Times New Roman" w:hAnsi="Times New Roman" w:cs="Times New Roman" w:eastAsia="Times New Roman"/>
          <w:color w:val="505050"/>
          <w:spacing w:val="0"/>
          <w:position w:val="0"/>
          <w:sz w:val="26"/>
          <w:shd w:fill="auto" w:val="clear"/>
        </w:rPr>
        <w:t xml:space="preserve"> </w:t>
      </w: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tabs>
          <w:tab w:val="left" w:pos="1740" w:leader="none"/>
        </w:tabs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ab/>
      </w: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keepNext w:val="true"/>
        <w:keepLines w:val="true"/>
        <w:spacing w:before="40" w:after="0" w:line="240"/>
        <w:ind w:right="0" w:left="0" w:firstLine="0"/>
        <w:jc w:val="left"/>
        <w:rPr>
          <w:rFonts w:ascii="Arial" w:hAnsi="Arial" w:cs="Arial" w:eastAsia="Arial"/>
          <w:b/>
          <w:color w:val="272727"/>
          <w:spacing w:val="0"/>
          <w:position w:val="0"/>
          <w:sz w:val="48"/>
          <w:shd w:fill="auto" w:val="clear"/>
        </w:rPr>
      </w:pPr>
      <w:r>
        <w:object w:dxaOrig="792" w:dyaOrig="691">
          <v:rect xmlns:o="urn:schemas-microsoft-com:office:office" xmlns:v="urn:schemas-microsoft-com:vml" id="rectole0000000001" style="width:39.600000pt;height:34.550000pt" o:preferrelative="t" o:ole="">
            <o:lock v:ext="edit"/>
            <v:imagedata xmlns:r="http://schemas.openxmlformats.org/officeDocument/2006/relationships" r:id="docRId5" o:title=""/>
          </v:rect>
          <o:OLEObject xmlns:r="http://schemas.openxmlformats.org/officeDocument/2006/relationships" xmlns:o="urn:schemas-microsoft-com:office:office" Type="Embed" ProgID="StaticMetafile" DrawAspect="Content" ObjectID="0000000001" ShapeID="rectole0000000001" r:id="docRId4"/>
        </w:object>
      </w:r>
    </w:p>
    <w:p>
      <w:pPr>
        <w:keepNext w:val="true"/>
        <w:keepLines w:val="true"/>
        <w:spacing w:before="0" w:after="0" w:line="240"/>
        <w:ind w:right="0" w:left="0" w:firstLine="0"/>
        <w:jc w:val="left"/>
        <w:rPr>
          <w:rFonts w:ascii="Arial" w:hAnsi="Arial" w:cs="Arial" w:eastAsia="Arial"/>
          <w:b/>
          <w:i/>
          <w:color w:val="003366"/>
          <w:spacing w:val="0"/>
          <w:position w:val="0"/>
          <w:sz w:val="32"/>
          <w:shd w:fill="auto" w:val="clear"/>
        </w:rPr>
      </w:pPr>
      <w:r>
        <w:rPr>
          <w:rFonts w:ascii="Arial" w:hAnsi="Arial" w:cs="Arial" w:eastAsia="Arial"/>
          <w:b/>
          <w:color w:val="272727"/>
          <w:spacing w:val="0"/>
          <w:position w:val="0"/>
          <w:sz w:val="32"/>
          <w:shd w:fill="auto" w:val="clear"/>
        </w:rPr>
        <w:t xml:space="preserve">       </w:t>
      </w:r>
      <w:r>
        <w:rPr>
          <w:rFonts w:ascii="Arial" w:hAnsi="Arial" w:cs="Arial" w:eastAsia="Arial"/>
          <w:b/>
          <w:color w:val="003366"/>
          <w:spacing w:val="0"/>
          <w:position w:val="0"/>
          <w:sz w:val="32"/>
          <w:shd w:fill="auto" w:val="clear"/>
        </w:rPr>
        <w:t xml:space="preserve">República Democrática             de São Tomé e Príncipe</w:t>
      </w:r>
    </w:p>
    <w:p>
      <w:pPr>
        <w:spacing w:before="0" w:after="0" w:line="259"/>
        <w:ind w:right="0" w:left="0" w:firstLine="0"/>
        <w:jc w:val="center"/>
        <w:rPr>
          <w:rFonts w:ascii="Arial" w:hAnsi="Arial" w:cs="Arial" w:eastAsia="Arial"/>
          <w:b/>
          <w:color w:val="003366"/>
          <w:spacing w:val="0"/>
          <w:position w:val="0"/>
          <w:sz w:val="16"/>
          <w:shd w:fill="auto" w:val="clear"/>
        </w:rPr>
      </w:pPr>
    </w:p>
    <w:p>
      <w:pPr>
        <w:spacing w:before="0" w:after="0" w:line="259"/>
        <w:ind w:right="0" w:left="0" w:firstLine="0"/>
        <w:jc w:val="center"/>
        <w:rPr>
          <w:rFonts w:ascii="Arial" w:hAnsi="Arial" w:cs="Arial" w:eastAsia="Arial"/>
          <w:b/>
          <w:color w:val="003366"/>
          <w:spacing w:val="0"/>
          <w:position w:val="0"/>
          <w:sz w:val="32"/>
          <w:shd w:fill="auto" w:val="clear"/>
        </w:rPr>
      </w:pPr>
      <w:r>
        <w:rPr>
          <w:rFonts w:ascii="Arial" w:hAnsi="Arial" w:cs="Arial" w:eastAsia="Arial"/>
          <w:b/>
          <w:color w:val="003366"/>
          <w:spacing w:val="0"/>
          <w:position w:val="0"/>
          <w:sz w:val="32"/>
          <w:shd w:fill="auto" w:val="clear"/>
        </w:rPr>
        <w:t xml:space="preserve">Ministério do Planeamento, Finanças e Economia Azul</w:t>
      </w:r>
    </w:p>
    <w:p>
      <w:pPr>
        <w:spacing w:before="0" w:after="0" w:line="259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(Unidade 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–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 Disciplina - Trabalho)</w:t>
      </w:r>
    </w:p>
    <w:p>
      <w:pPr>
        <w:spacing w:before="0" w:after="0" w:line="259"/>
        <w:ind w:right="0" w:left="0" w:firstLine="0"/>
        <w:jc w:val="center"/>
        <w:rPr>
          <w:rFonts w:ascii="Arial" w:hAnsi="Arial" w:cs="Arial" w:eastAsia="Arial"/>
          <w:color w:val="003366"/>
          <w:spacing w:val="0"/>
          <w:position w:val="0"/>
          <w:sz w:val="36"/>
          <w:shd w:fill="auto" w:val="clear"/>
        </w:rPr>
      </w:pPr>
      <w:r>
        <w:rPr>
          <w:rFonts w:ascii="Arial" w:hAnsi="Arial" w:cs="Arial" w:eastAsia="Arial"/>
          <w:b/>
          <w:color w:val="003366"/>
          <w:spacing w:val="0"/>
          <w:position w:val="0"/>
          <w:sz w:val="36"/>
          <w:shd w:fill="auto" w:val="clear"/>
        </w:rPr>
        <w:t xml:space="preserve">Agência Fiduciária de Administração de Projetos</w:t>
      </w:r>
    </w:p>
    <w:p>
      <w:pPr>
        <w:spacing w:before="0" w:after="0" w:line="259"/>
        <w:ind w:right="0" w:left="0" w:firstLine="0"/>
        <w:jc w:val="center"/>
        <w:rPr>
          <w:rFonts w:ascii="Arial" w:hAnsi="Arial" w:cs="Arial" w:eastAsia="Arial"/>
          <w:b/>
          <w:color w:val="003366"/>
          <w:spacing w:val="0"/>
          <w:position w:val="0"/>
          <w:sz w:val="36"/>
          <w:shd w:fill="auto" w:val="clear"/>
        </w:rPr>
      </w:pPr>
      <w:r>
        <w:rPr>
          <w:rFonts w:ascii="Arial" w:hAnsi="Arial" w:cs="Arial" w:eastAsia="Arial"/>
          <w:b/>
          <w:color w:val="003366"/>
          <w:spacing w:val="0"/>
          <w:position w:val="0"/>
          <w:sz w:val="36"/>
          <w:shd w:fill="auto" w:val="clear"/>
        </w:rPr>
        <w:t xml:space="preserve">Projeto Resposta de Emergência à COVID-19</w:t>
      </w: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3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32"/>
          <w:shd w:fill="auto" w:val="clear"/>
        </w:rPr>
        <w:t xml:space="preserve">TERMOS DE REFERÊNCIA: </w:t>
      </w: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6"/>
          <w:shd w:fill="auto" w:val="clear"/>
        </w:rPr>
        <w:t xml:space="preserve">Técnico de Monitoria e Avaliação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numPr>
          <w:ilvl w:val="0"/>
          <w:numId w:val="24"/>
        </w:numPr>
        <w:spacing w:before="0" w:after="0" w:line="240"/>
        <w:ind w:right="0" w:left="720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Antecedentes</w:t>
      </w:r>
    </w:p>
    <w:p>
      <w:pPr>
        <w:spacing w:before="0" w:after="160" w:line="259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Um surto do COVID-19 causado pelo novo coronavírus de 2019 (SRARS-CoV-2) disseminou-se rapidamente pelo mundo desde dezembro de 2019, após o diagnóstico dos casos iniciais em Wuhan, província de Hubei, China. Desde o início de março de 2020, o número de casos fora da China aumentou treze vezes e o número de países afetados triplicou. Em 11 de março de 2020, a Organização Mundial da Saúde (OMS) declarou uma pandemia, uma vez que o coronavírus se alastrou a todos os continentes e à maioria dos países a nível mundial. Até dia 5 de Maio de 2020, o surto resultou em cerca de 3.607.469 casos e 252.301 mortes em 189 países. </w:t>
      </w:r>
    </w:p>
    <w:p>
      <w:pPr>
        <w:spacing w:before="0" w:after="160" w:line="259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Em São Tomé e Príncipe (STP) sob a coordenação do Ministério da Saúde (MinSa), reúne-se e acompanha diariamente a situação com o apoio da OMS. Em 12 de fevereiro, o MinSa e a OMS realizaram uma sessão de trabalho no Conselho de Ministros sobre o RSI (Regulamento Internacional de Saúde) e a epidemia da COVID-19 com o objetivo de fornecer informações precoces sobre a ameaça, fortalecer a coordenação e preparar o país para lidar com a COVID 19 e emergências de saúde pública similares e seus impactos na saúde e socioeconômicos. Na sequência desta sessão, o Governo decidiu mobilizar 500 000 dólares do seu orçamento nacional para apoiar a preparação para a COVID-19.  Em 18 de fevereiro, o MinSa realizou uma sessão de trabalho com as agências das Nações Unidas, com o objetivo de informar sobre as ações preparatórias do governo e coordenar as contribuições de cada um. Um Plano de Preparação e Resposta ao COVID19 foi elaborado durante o mês de Fevereiro, tendo-se seguido prontamente a sua implementação no que respeita a Preparação para o surto de COVID19 que se avizinhava como inevitável. Até dia 4 de Maio de 2020, cerca de 179 casos de COVID19 haviam sido confirmados em todo o território São-Tomense com 3 mortes também confirmadas pelo novo coronavírus.</w:t>
      </w:r>
    </w:p>
    <w:p>
      <w:pPr>
        <w:spacing w:before="0" w:after="160" w:line="259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No sentido de apoiar STP o presente projecto financiado pelo Banco Mundial irá apoiar o Governo de STP na sua preparação para a detecção e contenção de casos COVID-19. O projeto proposto tem como objetivo reforçar e manter a capacidade do país para tal: (i) limitar a transmissão da COVID 19 na população, incluindo trabalhadores da saúde; (ii) reforçar a notificação de detecção precoce e confirmação de casos da COVID-19; (iii) gerir eficazmente o isolamento e gestão de casos para todos os casos suspeitos e confirmados da COVID-19; (iv) apoiar a promoção da saúde e a mobilização da comunidade para a proteção e prevenção da COVID-19, e (v) reforçar a coordenação multisetorial dos parceiros para melhorar a preparação e resposta e minimizar o impacto socioeconómico de um potencial surto da COVID-19. O projeto proposto também irá trabalhar para reforçar a capacidade a longo prazo, adoptando a abordagem "One-Health" de Uma Só Saúde como atividades chave para a saúde animal para apoiar a prevenção nacional, sistemas de alerta precoce, estratégias de controlo e erradicação para cobrir as necessidades de STP a curto, médio ou longo prazo. As atividades propostas seriam baseadas em avaliações detalhadas do risco de Doenças Infecciosas Emergentes (EIDs), estado epidemiológico das principais infecções zoonóticas, capacidade dos Serviços Veterinários nacionais e a vulnerabilidade do sector pecuário a doenças infecciosas novas, emergentes e reemergentes.</w:t>
      </w:r>
    </w:p>
    <w:p>
      <w:pPr>
        <w:spacing w:before="0" w:after="160" w:line="259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De acordo com as normas e regulamentos dos projectos financiados pelo Banco Mundial, o presente projecto tem um quadro estratégico de monitoria e avaliação que é composto por uma série de indicadores referentes aos objectivos de desenvolvimento do projecto bem como relativos aos diversos componentes e actividades. Para assegurar o cumprimento dos objectivos do projecto supra-mencionados, o Técnico de Monitoria e Avaliação (M&amp;A) do Projecto será responsável por assegurar que os instrumentos de monitoria e avaliação são definidos e implementados de forma correcta, eficaz e optimizada. O Técnico de M&amp;A será responsável por assegurar a recolha, processamento, análise, compilação e reporte de dados para os relatórios de implementação do projecto.</w:t>
      </w:r>
    </w:p>
    <w:p>
      <w:pPr>
        <w:spacing w:before="0" w:after="160" w:line="259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numPr>
          <w:ilvl w:val="0"/>
          <w:numId w:val="26"/>
        </w:numPr>
        <w:spacing w:before="0" w:after="0" w:line="240"/>
        <w:ind w:right="0" w:left="720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Âmbito do Trabalho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O Técnico de Monitoria e Avaliação do Projecto COVID19 deverá executar as seguintes tarefas:</w:t>
      </w:r>
    </w:p>
    <w:p>
      <w:pPr>
        <w:spacing w:before="0" w:after="160" w:line="259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numPr>
          <w:ilvl w:val="0"/>
          <w:numId w:val="29"/>
        </w:numPr>
        <w:spacing w:before="60" w:after="60" w:line="240"/>
        <w:ind w:right="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Elaborar o plano anual de monitoria e avaliação para o Porjecto COVID19 com dois componentes principais:</w:t>
      </w:r>
    </w:p>
    <w:p>
      <w:pPr>
        <w:numPr>
          <w:ilvl w:val="0"/>
          <w:numId w:val="29"/>
        </w:numPr>
        <w:spacing w:before="60" w:after="60" w:line="240"/>
        <w:ind w:right="0" w:left="144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Plano de M&amp;A para os indicadores do Projecto de acordo com a Tabela de Resultados do projecto COVID19 (Anexo 1);</w:t>
      </w:r>
    </w:p>
    <w:p>
      <w:pPr>
        <w:numPr>
          <w:ilvl w:val="0"/>
          <w:numId w:val="29"/>
        </w:numPr>
        <w:spacing w:before="60" w:after="60" w:line="240"/>
        <w:ind w:right="0" w:left="144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Plano de M&amp;A para a implementação do Plano Nacional de Preparação e Resposta para o COVID19;</w:t>
      </w:r>
    </w:p>
    <w:p>
      <w:pPr>
        <w:numPr>
          <w:ilvl w:val="0"/>
          <w:numId w:val="29"/>
        </w:numPr>
        <w:spacing w:before="0" w:after="60" w:line="240"/>
        <w:ind w:right="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Desenhar os fluxos de processos e procedimentos para recolha, processamento, análise, compilação e reporte dos dados relativos aos indicadores do projecto (Anexo 1);</w:t>
      </w:r>
    </w:p>
    <w:p>
      <w:pPr>
        <w:numPr>
          <w:ilvl w:val="0"/>
          <w:numId w:val="29"/>
        </w:numPr>
        <w:spacing w:before="0" w:after="60" w:line="240"/>
        <w:ind w:right="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Definir e actualizar indicadores de desempenho e M&amp;A para o Plano Nacional de Preparação e Resposta ao COVID19 e desenhar os fluxos processos e procedimentos para recolha, processamento, análise, compilação e reporte dos dados relativos aos indicadores definidos;</w:t>
      </w:r>
    </w:p>
    <w:p>
      <w:pPr>
        <w:numPr>
          <w:ilvl w:val="0"/>
          <w:numId w:val="29"/>
        </w:numPr>
        <w:spacing w:before="0" w:after="60" w:line="240"/>
        <w:ind w:right="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Seguir, monitorar, definir e actualizar os indicadores ambientais e sociais do projecto em estreita colaboração com o especialista ambiental&amp;social da AFAP;</w:t>
      </w:r>
    </w:p>
    <w:p>
      <w:pPr>
        <w:numPr>
          <w:ilvl w:val="0"/>
          <w:numId w:val="29"/>
        </w:numPr>
        <w:spacing w:before="0" w:after="60" w:line="240"/>
        <w:ind w:right="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Definir os instrumentos de recolha de dados para os diversos indicadores, realizar o pré-teste dos mesmos a nível da Direcção dos Cuidados de Saúde e em colaboração com o departamento responsável pela M&amp;A da mesma instituição;</w:t>
      </w:r>
    </w:p>
    <w:p>
      <w:pPr>
        <w:numPr>
          <w:ilvl w:val="0"/>
          <w:numId w:val="29"/>
        </w:numPr>
        <w:spacing w:before="0" w:after="60" w:line="240"/>
        <w:ind w:right="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Recolher, analisar e reportar os dados relativos aos indicadores do projecto em colaboração com o Conselheiro Técnico do Projeto e com os responsáveis por parte do MiNSA e Direcção dos Cuidados de Saúde;</w:t>
      </w:r>
    </w:p>
    <w:p>
      <w:pPr>
        <w:numPr>
          <w:ilvl w:val="0"/>
          <w:numId w:val="29"/>
        </w:numPr>
        <w:spacing w:before="0" w:after="60" w:line="240"/>
        <w:ind w:right="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Capacitação dos técnicos da Direcção dos Cuidados de Saúde em M&amp;A, nomeadamente na recolha, análise e processamento dos dados; </w:t>
      </w:r>
    </w:p>
    <w:p>
      <w:pPr>
        <w:numPr>
          <w:ilvl w:val="0"/>
          <w:numId w:val="29"/>
        </w:numPr>
        <w:spacing w:before="0" w:after="60" w:line="240"/>
        <w:ind w:right="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Desenvolver e manter mecanismos e canais eficientes para parcerias internas e externas com departamentos de M&amp;A a nível Nacional, agências das Nações Unidas e Estados-Membros durante todo o ciclo de gestão da epidemia de COVID19 no país; </w:t>
      </w:r>
    </w:p>
    <w:p>
      <w:pPr>
        <w:numPr>
          <w:ilvl w:val="0"/>
          <w:numId w:val="29"/>
        </w:numPr>
        <w:spacing w:before="0" w:after="60" w:line="240"/>
        <w:ind w:right="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Apoiar o Conselheiro Técnico do Projecto na consolidação das informações de M&amp;A e outros dados estatísticos necessários para compor os relatórios de execução e de progresso do Projecto a serem submetidos ao Banco Mundial e ao Ministério da Saúde;</w:t>
      </w:r>
    </w:p>
    <w:p>
      <w:pPr>
        <w:numPr>
          <w:ilvl w:val="0"/>
          <w:numId w:val="29"/>
        </w:numPr>
        <w:spacing w:before="0" w:after="60" w:line="240"/>
        <w:ind w:right="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Acompanhar e apoiar as auditorias realizadas no Projecto, fornecendo aos auditores todas as informações e documentos comprovatórios exigidos e pertinentes;</w:t>
      </w:r>
    </w:p>
    <w:p>
      <w:pPr>
        <w:numPr>
          <w:ilvl w:val="0"/>
          <w:numId w:val="29"/>
        </w:numPr>
        <w:spacing w:before="0" w:after="60" w:line="240"/>
        <w:ind w:right="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Apoiar, facilitar e desenvolver mecanismos de conexão entre o AFAP e MinSA na implementação dos instrumentos e mecanismos ambientais e sociais definidos pelo projecto, </w:t>
      </w:r>
    </w:p>
    <w:p>
      <w:pPr>
        <w:numPr>
          <w:ilvl w:val="0"/>
          <w:numId w:val="29"/>
        </w:numPr>
        <w:spacing w:before="0" w:after="60" w:line="240"/>
        <w:ind w:right="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Realizar outras actividades em sua área de competência solicitadas pelo Conselheiro Técnico do Projecto ou pelo Diretor-Geral da AFAP.</w:t>
      </w:r>
    </w:p>
    <w:p>
      <w:pPr>
        <w:tabs>
          <w:tab w:val="left" w:pos="0" w:leader="none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</w:tabs>
        <w:spacing w:before="0" w:after="160" w:line="259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tabs>
          <w:tab w:val="left" w:pos="0" w:leader="none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</w:tabs>
        <w:spacing w:before="0" w:after="160" w:line="259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numPr>
          <w:ilvl w:val="0"/>
          <w:numId w:val="33"/>
        </w:numPr>
        <w:spacing w:before="0" w:after="0" w:line="240"/>
        <w:ind w:right="0" w:left="720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Duração do Contrato</w:t>
      </w:r>
    </w:p>
    <w:p>
      <w:pPr>
        <w:spacing w:before="0" w:after="160" w:line="259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Um contrato será assinado até 31 de Dezembro de 2020, com um período experimental de 3 meses, renovável em função de desempenho satisfatório. A partir de janeiro de 2021 e após avaliação de performance positiva, com uma avaliação qualitativa correspondente a Satisfaz e avaliação quantitativa superior a 65%, o contrato será renovado por um periodo de 12 meses, até 31 de Dezembro de 2021 e assim sucessivamente até o fim do projeto.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numPr>
          <w:ilvl w:val="0"/>
          <w:numId w:val="36"/>
        </w:numPr>
        <w:spacing w:before="0" w:after="0" w:line="240"/>
        <w:ind w:right="0" w:left="720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Relatórios</w:t>
      </w:r>
    </w:p>
    <w:p>
      <w:pPr>
        <w:spacing w:before="0" w:after="160" w:line="259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O Técnico de M&amp;A do Projecto COVID19 será responsável pela elaboração do componente de M&amp;A dos relatórios trimestrais, anuais, de avaliação de Meio-Termo do Projecto e da Avaliação Final do Projecto.</w:t>
      </w:r>
    </w:p>
    <w:p>
      <w:pPr>
        <w:tabs>
          <w:tab w:val="left" w:pos="1860" w:leader="none"/>
        </w:tabs>
        <w:spacing w:before="0" w:after="160" w:line="259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keepNext w:val="true"/>
        <w:numPr>
          <w:ilvl w:val="0"/>
          <w:numId w:val="39"/>
        </w:numPr>
        <w:spacing w:before="0" w:after="0" w:line="240"/>
        <w:ind w:right="0" w:left="720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Dependência hierárquica</w:t>
      </w:r>
    </w:p>
    <w:p>
      <w:pPr>
        <w:spacing w:before="0" w:after="160" w:line="259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O Técnico de M&amp;A do Projecto COVID19 trabalhará em estreita colaboração com a Directora da Direcção dos Cuidados de Saúde, sendo baseado nas instalações do Ministério de Saúde (MINSA) para prestar apoio cotidiano, e será parte da estrutura da AFAP, liderada pelo Director-Geral da Agência Fiduciária de Administração de Projetos (AFAP). </w:t>
      </w:r>
    </w:p>
    <w:p>
      <w:pPr>
        <w:spacing w:before="0" w:after="160" w:line="259"/>
        <w:ind w:right="0" w:left="72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numPr>
          <w:ilvl w:val="0"/>
          <w:numId w:val="42"/>
        </w:numPr>
        <w:spacing w:before="0" w:after="0" w:line="240"/>
        <w:ind w:right="0" w:left="720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Qualificações</w:t>
      </w:r>
    </w:p>
    <w:p>
      <w:pPr>
        <w:spacing w:before="0" w:after="160" w:line="259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O Técnico de Monitoria e Avaliação do Projecto COVID19 deverá possuir as qualificações seguintes:</w:t>
      </w:r>
    </w:p>
    <w:p>
      <w:pPr>
        <w:spacing w:before="0" w:after="160" w:line="259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numPr>
          <w:ilvl w:val="0"/>
          <w:numId w:val="44"/>
        </w:numPr>
        <w:tabs>
          <w:tab w:val="left" w:pos="720" w:leader="none"/>
        </w:tabs>
        <w:spacing w:before="60" w:after="0" w:line="240"/>
        <w:ind w:right="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Conclusão de um diploma de nível superior (licenciatura) em matemática, estatística, gestão, administração pública/empresas, ciências sociais, epidemiologia de campo ou outra área de Saúde relevante para M&amp;A em Saúde Pública;Mínimo de 3 anos de experiência em posições de monitoria e avaliação ou em gestão de implementação de projectos em Saúde Pública;</w:t>
      </w:r>
    </w:p>
    <w:p>
      <w:pPr>
        <w:numPr>
          <w:ilvl w:val="0"/>
          <w:numId w:val="44"/>
        </w:numPr>
        <w:tabs>
          <w:tab w:val="left" w:pos="720" w:leader="none"/>
        </w:tabs>
        <w:spacing w:before="60" w:after="0" w:line="240"/>
        <w:ind w:right="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Mínimo de 5 anos de experiência em projetos de saúde pública implementados em São Tomé e Príncipe;</w:t>
      </w:r>
    </w:p>
    <w:p>
      <w:pPr>
        <w:numPr>
          <w:ilvl w:val="0"/>
          <w:numId w:val="44"/>
        </w:numPr>
        <w:tabs>
          <w:tab w:val="left" w:pos="720" w:leader="none"/>
        </w:tabs>
        <w:spacing w:before="60" w:after="0" w:line="240"/>
        <w:ind w:right="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Treino em sistemas de M&amp;A é uma mais valia;</w:t>
      </w:r>
    </w:p>
    <w:p>
      <w:pPr>
        <w:numPr>
          <w:ilvl w:val="0"/>
          <w:numId w:val="44"/>
        </w:numPr>
        <w:tabs>
          <w:tab w:val="left" w:pos="720" w:leader="none"/>
        </w:tabs>
        <w:spacing w:before="60" w:after="0" w:line="240"/>
        <w:ind w:right="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Trabalho e colaboração na implementação de projetos em colaboração com agências doadoras (eg. Banco Mundial) são uma mais valia;</w:t>
      </w:r>
    </w:p>
    <w:p>
      <w:pPr>
        <w:numPr>
          <w:ilvl w:val="0"/>
          <w:numId w:val="44"/>
        </w:numPr>
        <w:tabs>
          <w:tab w:val="left" w:pos="720" w:leader="none"/>
        </w:tabs>
        <w:spacing w:before="60" w:after="0" w:line="240"/>
        <w:ind w:right="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Conhecimento e experiência de aplicações e ferramentas de Office baseados em ICT’s (processamento de texto, planilhas e processamento de dados em Excel, Epi Info, PowerPoint);</w:t>
      </w:r>
    </w:p>
    <w:p>
      <w:pPr>
        <w:numPr>
          <w:ilvl w:val="0"/>
          <w:numId w:val="44"/>
        </w:numPr>
        <w:tabs>
          <w:tab w:val="left" w:pos="720" w:leader="none"/>
        </w:tabs>
        <w:spacing w:before="60" w:after="0" w:line="240"/>
        <w:ind w:right="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Possuir conhecimento e entendimento comprovados de planificação, coordenação, e implementação de projectos, e boa capacidade analítica;</w:t>
      </w:r>
    </w:p>
    <w:p>
      <w:pPr>
        <w:numPr>
          <w:ilvl w:val="0"/>
          <w:numId w:val="44"/>
        </w:numPr>
        <w:tabs>
          <w:tab w:val="left" w:pos="720" w:leader="none"/>
        </w:tabs>
        <w:spacing w:before="60" w:after="0" w:line="240"/>
        <w:ind w:right="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Capacidade comprovada de promover e contribuir para um ambiente de equipe colaborativo, criar confiança entre os colegas, trabalhar de forma eficaz inclusive com altos funcionários, e efectivamente lidar com conflitos;</w:t>
      </w:r>
    </w:p>
    <w:p>
      <w:pPr>
        <w:numPr>
          <w:ilvl w:val="0"/>
          <w:numId w:val="44"/>
        </w:numPr>
        <w:tabs>
          <w:tab w:val="left" w:pos="720" w:leader="none"/>
        </w:tabs>
        <w:spacing w:before="60" w:after="0" w:line="240"/>
        <w:ind w:right="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Excelente domínio da língua Portuguesa e capacidade de comunicação em inglês e /ou francês</w:t>
      </w:r>
    </w:p>
    <w:p>
      <w:pPr>
        <w:spacing w:before="0" w:after="160" w:line="259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Competências:</w:t>
      </w:r>
    </w:p>
    <w:p>
      <w:pPr>
        <w:spacing w:before="0" w:after="160" w:line="259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numPr>
          <w:ilvl w:val="0"/>
          <w:numId w:val="46"/>
        </w:numPr>
        <w:tabs>
          <w:tab w:val="left" w:pos="720" w:leader="none"/>
        </w:tabs>
        <w:spacing w:before="0" w:after="60" w:line="240"/>
        <w:ind w:right="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  <w:t xml:space="preserve">Impulsionar resultados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: Assume responsabilidade pessoal e responsabilidade para cumprir prazos e alcançar resultados acordados, e tem a organização pessoal para fazê-lo. Define metas desafiadoras e busca continuamente melhorias adicionais. Actua como um consultor estratégico confiável, em parceria com os colaboradores para fornecer resultados. Compreende os desafios mais urgentes das partes interessadas e contribui para soluções.</w:t>
      </w:r>
    </w:p>
    <w:p>
      <w:pPr>
        <w:numPr>
          <w:ilvl w:val="0"/>
          <w:numId w:val="46"/>
        </w:numPr>
        <w:tabs>
          <w:tab w:val="left" w:pos="720" w:leader="none"/>
        </w:tabs>
        <w:spacing w:before="0" w:after="60" w:line="240"/>
        <w:ind w:right="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  <w:t xml:space="preserve">Colaboração dentro e entre equipes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: contribui de forma produtiva para o trabalho e o rendimento da equipe. Mantém os outros informados para garantir a integração e resultados significativos. Exibe um senso de reciprocidade e respeito e resolve os conflitos de forma produtiva. Busca e ouve a opinião de outras pessoas para informar sua própria decisão e compartilha informações abertamente. </w:t>
      </w:r>
    </w:p>
    <w:p>
      <w:pPr>
        <w:numPr>
          <w:ilvl w:val="0"/>
          <w:numId w:val="46"/>
        </w:numPr>
        <w:tabs>
          <w:tab w:val="left" w:pos="720" w:leader="none"/>
        </w:tabs>
        <w:spacing w:before="0" w:after="60" w:line="240"/>
        <w:ind w:right="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  <w:t xml:space="preserve">Criar, aplicar e compartilhar conhecimento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: contribui para um ambiente em que o conhecimento é criado, aplicado e compartilhado de maneira transparente. Contribui para o corpo de conhecimento da unidade, aplicando lições aprendidas e experiência. Investe activamente em conhecimento próprio e busca feedback. Constrói redes pessoais e profissionais dentro e fora do grupo de trabalho.</w:t>
      </w:r>
    </w:p>
    <w:p>
      <w:pPr>
        <w:numPr>
          <w:ilvl w:val="0"/>
          <w:numId w:val="46"/>
        </w:numPr>
        <w:tabs>
          <w:tab w:val="left" w:pos="720" w:leader="none"/>
        </w:tabs>
        <w:spacing w:before="0" w:after="60" w:line="240"/>
        <w:ind w:right="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  <w:t xml:space="preserve">Discernimento e tomada de decisão analítica: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Busca e analisa fatos, dados e lições aprendidas para apoiar decisões sólidas e lógicas sobre o trabalho do próprio e de outros. Mostra a iniciativa quando necessário e toma decisões em tempo hábil dentro da própria área de responsabilidade.</w:t>
      </w:r>
    </w:p>
    <w:p>
      <w:pPr>
        <w:spacing w:before="0" w:after="6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numPr>
          <w:ilvl w:val="0"/>
          <w:numId w:val="49"/>
        </w:numPr>
        <w:spacing w:before="0" w:after="0" w:line="240"/>
        <w:ind w:right="0" w:left="720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Local de Trabalho</w:t>
      </w:r>
    </w:p>
    <w:p>
      <w:pPr>
        <w:numPr>
          <w:ilvl w:val="0"/>
          <w:numId w:val="49"/>
        </w:num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60" w:line="259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O Técnico de M&amp;A do Projecto ficará baseado nos escritórios da AFAP e nos escritórios do MINSA em São Tomé, numa base proporcional semanal de 2 dias na AFAP e 3 dias no MINSA , mas que poderá mudar e adaptar-se em função da necessidade do trabalho.  </w:t>
      </w:r>
    </w:p>
    <w:p>
      <w:pPr>
        <w:numPr>
          <w:ilvl w:val="0"/>
          <w:numId w:val="52"/>
        </w:num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numPr>
          <w:ilvl w:val="0"/>
          <w:numId w:val="52"/>
        </w:num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Anexo 1: Indicadores Projecto COVID19</w:t>
      </w:r>
    </w:p>
    <w:p>
      <w:pPr>
        <w:numPr>
          <w:ilvl w:val="0"/>
          <w:numId w:val="52"/>
        </w:numPr>
        <w:spacing w:before="0" w:after="24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52"/>
        </w:numPr>
        <w:spacing w:before="0" w:after="24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Indicadores de resultados ao nível dos PDO: </w:t>
      </w:r>
    </w:p>
    <w:p>
      <w:pPr>
        <w:numPr>
          <w:ilvl w:val="0"/>
          <w:numId w:val="52"/>
        </w:numPr>
        <w:spacing w:before="0" w:after="240" w:line="240"/>
        <w:ind w:right="0" w:left="78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O país ativou o seu Centro de Operações de Emergência de Saúde Pública ou um mecanismo de coordenação para a COVID-19;</w:t>
      </w:r>
    </w:p>
    <w:p>
      <w:pPr>
        <w:numPr>
          <w:ilvl w:val="0"/>
          <w:numId w:val="52"/>
        </w:numPr>
        <w:spacing w:before="0" w:after="240" w:line="240"/>
        <w:ind w:right="0" w:left="78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Percentagem de casos suspeitos de COVID-19 que foram investigados, confirmados em laboratório e comunicados com base em diretrizes nacionais;</w:t>
      </w:r>
    </w:p>
    <w:p>
      <w:pPr>
        <w:numPr>
          <w:ilvl w:val="0"/>
          <w:numId w:val="52"/>
        </w:numPr>
        <w:spacing w:before="0" w:after="240" w:line="240"/>
        <w:ind w:right="0" w:left="78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Percentagem de instalações de saúde aguda com capacidade de isolamento;</w:t>
      </w:r>
    </w:p>
    <w:p>
      <w:pPr>
        <w:numPr>
          <w:ilvl w:val="0"/>
          <w:numId w:val="52"/>
        </w:numPr>
        <w:spacing w:before="0" w:after="240" w:line="240"/>
        <w:ind w:right="0" w:left="78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País adotou intervenções pessoais e comunitárias não-farmacêuticas (fechamento encerramento de escolas, tele-trabalho e reuniões remotas, redução/cancelamento de reuniões de massa);</w:t>
      </w:r>
    </w:p>
    <w:p>
      <w:pPr>
        <w:numPr>
          <w:ilvl w:val="0"/>
          <w:numId w:val="52"/>
        </w:numPr>
        <w:spacing w:before="0" w:after="240" w:line="240"/>
        <w:ind w:right="0" w:left="78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Sistema de M&amp;A estabelecido para monitorar o plano de preparação e resposta da COVID-19;</w:t>
      </w:r>
    </w:p>
    <w:p>
      <w:pPr>
        <w:numPr>
          <w:ilvl w:val="0"/>
          <w:numId w:val="52"/>
        </w:numPr>
        <w:spacing w:before="0" w:after="24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52"/>
        </w:numPr>
        <w:spacing w:before="0" w:after="24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Indicadores intermediários de acordo com componentes:</w:t>
      </w:r>
    </w:p>
    <w:p>
      <w:pPr>
        <w:numPr>
          <w:ilvl w:val="0"/>
          <w:numId w:val="52"/>
        </w:numPr>
        <w:spacing w:before="0" w:after="240" w:line="240"/>
        <w:ind w:right="0" w:left="720" w:hanging="36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Número de profissionais de saúde treinados em prevenção e controle de infecção de acordo com os protocolos aprovados pelo MiNSA;</w:t>
      </w:r>
    </w:p>
    <w:p>
      <w:pPr>
        <w:numPr>
          <w:ilvl w:val="0"/>
          <w:numId w:val="52"/>
        </w:numPr>
        <w:spacing w:before="0" w:after="240" w:line="240"/>
        <w:ind w:right="0" w:left="720" w:hanging="36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O país preparou um sistema de referência para cuidar de pacientes com COVID-19;</w:t>
      </w:r>
    </w:p>
    <w:p>
      <w:pPr>
        <w:numPr>
          <w:ilvl w:val="0"/>
          <w:numId w:val="52"/>
        </w:numPr>
        <w:spacing w:before="0" w:after="240" w:line="240"/>
        <w:ind w:right="0" w:left="720" w:hanging="36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Número de laboratórios designados com pessoal treinado para realizar o diagnóstico COVID-19;</w:t>
      </w:r>
    </w:p>
    <w:p>
      <w:pPr>
        <w:numPr>
          <w:ilvl w:val="0"/>
          <w:numId w:val="52"/>
        </w:numPr>
        <w:spacing w:before="0" w:after="240" w:line="240"/>
        <w:ind w:right="0" w:left="720" w:hanging="36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Percentagem de famílias elegíveis fornecidas com alimentos e suprimentos básicos em populações em quarentena;</w:t>
      </w:r>
    </w:p>
    <w:p>
      <w:pPr>
        <w:numPr>
          <w:ilvl w:val="0"/>
          <w:numId w:val="52"/>
        </w:numPr>
        <w:spacing w:before="0" w:after="240" w:line="240"/>
        <w:ind w:right="0" w:left="720" w:hanging="36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Número de unidades de saúde reformadas / aprimoradas que implementam a pesquisa de satisfação do cliente;</w:t>
      </w:r>
    </w:p>
    <w:p>
      <w:pPr>
        <w:numPr>
          <w:ilvl w:val="0"/>
          <w:numId w:val="52"/>
        </w:numPr>
        <w:spacing w:before="0" w:after="24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Pelo menos um exercício de simulação multissetorial conduzido pelo COE com resultados incorporados nos planos nacionais de preparação e resposta ao COVID-19;</w:t>
      </w:r>
    </w:p>
    <w:p>
      <w:pPr>
        <w:numPr>
          <w:ilvl w:val="0"/>
          <w:numId w:val="52"/>
        </w:numPr>
        <w:spacing w:before="0" w:after="24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Por menos duas reuniões por ano em um setor intersetorial sobre saúde (MS, Ministério da Agricultura, Ministério do Meio Ambiente) para garantir uma melhoria avançada no ambiente humano-saúde-ambiente;</w:t>
      </w:r>
    </w:p>
    <w:p>
      <w:pPr>
        <w:numPr>
          <w:ilvl w:val="0"/>
          <w:numId w:val="52"/>
        </w:numPr>
        <w:spacing w:before="0" w:after="24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Percentagem de relatórios mensais e trimestrais de M&amp;A do projeto enviados no prazo;</w:t>
      </w:r>
    </w:p>
    <w:p>
      <w:pPr>
        <w:numPr>
          <w:ilvl w:val="0"/>
          <w:numId w:val="52"/>
        </w:numPr>
        <w:spacing w:before="0" w:after="24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Número de relatórios de progresso anuais enviados completos e dentro do prazo;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abstractNum w:abstractNumId="30">
    <w:lvl w:ilvl="0">
      <w:start w:val="1"/>
      <w:numFmt w:val="bullet"/>
      <w:lvlText w:val="•"/>
    </w:lvl>
  </w:abstractNum>
  <w:abstractNum w:abstractNumId="36">
    <w:lvl w:ilvl="0">
      <w:start w:val="1"/>
      <w:numFmt w:val="bullet"/>
      <w:lvlText w:val="•"/>
    </w:lvl>
  </w:abstractNum>
  <w:abstractNum w:abstractNumId="42">
    <w:lvl w:ilvl="0">
      <w:start w:val="1"/>
      <w:numFmt w:val="bullet"/>
      <w:lvlText w:val="•"/>
    </w:lvl>
  </w:abstractNum>
  <w:abstractNum w:abstractNumId="48">
    <w:lvl w:ilvl="0">
      <w:start w:val="1"/>
      <w:numFmt w:val="bullet"/>
      <w:lvlText w:val="•"/>
    </w:lvl>
  </w:abstractNum>
  <w:abstractNum w:abstractNumId="54">
    <w:lvl w:ilvl="0">
      <w:start w:val="1"/>
      <w:numFmt w:val="bullet"/>
      <w:lvlText w:val="•"/>
    </w:lvl>
  </w:abstractNum>
  <w:abstractNum w:abstractNumId="60">
    <w:lvl w:ilvl="0">
      <w:start w:val="1"/>
      <w:numFmt w:val="bullet"/>
      <w:lvlText w:val="•"/>
    </w:lvl>
  </w:abstractNum>
  <w:abstractNum w:abstractNumId="66">
    <w:lvl w:ilvl="0">
      <w:start w:val="1"/>
      <w:numFmt w:val="bullet"/>
      <w:lvlText w:val="•"/>
    </w:lvl>
  </w:abstractNum>
  <w:num w:numId="10">
    <w:abstractNumId w:val="66"/>
  </w:num>
  <w:num w:numId="24">
    <w:abstractNumId w:val="60"/>
  </w:num>
  <w:num w:numId="26">
    <w:abstractNumId w:val="54"/>
  </w:num>
  <w:num w:numId="29">
    <w:abstractNumId w:val="48"/>
  </w:num>
  <w:num w:numId="33">
    <w:abstractNumId w:val="42"/>
  </w:num>
  <w:num w:numId="36">
    <w:abstractNumId w:val="36"/>
  </w:num>
  <w:num w:numId="39">
    <w:abstractNumId w:val="30"/>
  </w:num>
  <w:num w:numId="42">
    <w:abstractNumId w:val="24"/>
  </w:num>
  <w:num w:numId="44">
    <w:abstractNumId w:val="18"/>
  </w:num>
  <w:num w:numId="46">
    <w:abstractNumId w:val="12"/>
  </w:num>
  <w:num w:numId="49">
    <w:abstractNumId w:val="6"/>
  </w:num>
  <w:num w:numId="52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media/image0.wmf" Id="docRId1" Type="http://schemas.openxmlformats.org/officeDocument/2006/relationships/image" /><Relationship TargetMode="External" Target="mailto:horacio.dias@afap.st" Id="docRId3" Type="http://schemas.openxmlformats.org/officeDocument/2006/relationships/hyperlink" /><Relationship Target="media/image1.wmf" Id="docRId5" Type="http://schemas.openxmlformats.org/officeDocument/2006/relationships/image" /><Relationship Target="styles.xml" Id="docRId7" Type="http://schemas.openxmlformats.org/officeDocument/2006/relationships/styles" /><Relationship Target="embeddings/oleObject0.bin" Id="docRId0" Type="http://schemas.openxmlformats.org/officeDocument/2006/relationships/oleObject" /><Relationship TargetMode="External" Target="mailto:afap2@yahoo.com.br" Id="docRId2" Type="http://schemas.openxmlformats.org/officeDocument/2006/relationships/hyperlink" /><Relationship Target="embeddings/oleObject1.bin" Id="docRId4" Type="http://schemas.openxmlformats.org/officeDocument/2006/relationships/oleObject" /><Relationship Target="numbering.xml" Id="docRId6" Type="http://schemas.openxmlformats.org/officeDocument/2006/relationships/numbering" /></Relationships>
</file>