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E4" w:rsidRPr="00F32CD4" w:rsidRDefault="00707CE4" w:rsidP="00707CE4">
      <w:pPr>
        <w:rPr>
          <w:rFonts w:eastAsia="Batang"/>
          <w:bCs/>
          <w:color w:val="323E4F" w:themeColor="text2" w:themeShade="BF"/>
          <w:sz w:val="26"/>
          <w:szCs w:val="26"/>
        </w:rPr>
      </w:pPr>
      <w:r w:rsidRPr="00F32CD4">
        <w:rPr>
          <w:noProof/>
          <w:color w:val="323E4F" w:themeColor="text2" w:themeShade="BF"/>
          <w:sz w:val="26"/>
          <w:szCs w:val="26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3062605</wp:posOffset>
            </wp:positionH>
            <wp:positionV relativeFrom="paragraph">
              <wp:posOffset>66040</wp:posOffset>
            </wp:positionV>
            <wp:extent cx="65151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E4" w:rsidRPr="003B378D" w:rsidRDefault="00707CE4" w:rsidP="00707CE4">
      <w:pPr>
        <w:jc w:val="center"/>
        <w:rPr>
          <w:b/>
          <w:bCs/>
          <w:color w:val="323E4F" w:themeColor="text2" w:themeShade="BF"/>
          <w:sz w:val="28"/>
          <w:szCs w:val="28"/>
        </w:rPr>
      </w:pPr>
      <w:r w:rsidRPr="003B378D">
        <w:rPr>
          <w:rFonts w:eastAsia="Batang"/>
          <w:b/>
          <w:bCs/>
          <w:color w:val="323E4F" w:themeColor="text2" w:themeShade="BF"/>
          <w:sz w:val="28"/>
          <w:szCs w:val="28"/>
        </w:rPr>
        <w:t xml:space="preserve">REPÚBLICA DEMOCRÁTICA                 </w:t>
      </w:r>
      <w:r w:rsidRPr="003B378D">
        <w:rPr>
          <w:b/>
          <w:bCs/>
          <w:color w:val="323E4F" w:themeColor="text2" w:themeShade="BF"/>
          <w:sz w:val="28"/>
          <w:szCs w:val="28"/>
        </w:rPr>
        <w:t>DE SÃO TOMÉ E PRÍNCIPE</w:t>
      </w:r>
    </w:p>
    <w:p w:rsidR="00707CE4" w:rsidRPr="003B378D" w:rsidRDefault="00707CE4" w:rsidP="00707CE4">
      <w:pPr>
        <w:pStyle w:val="Legenda"/>
        <w:tabs>
          <w:tab w:val="left" w:pos="8460"/>
        </w:tabs>
        <w:ind w:right="96"/>
        <w:rPr>
          <w:b/>
          <w:color w:val="323E4F" w:themeColor="text2" w:themeShade="BF"/>
          <w:szCs w:val="28"/>
        </w:rPr>
      </w:pPr>
    </w:p>
    <w:p w:rsidR="00707CE4" w:rsidRPr="003B378D" w:rsidRDefault="00707CE4" w:rsidP="00707CE4">
      <w:pPr>
        <w:pStyle w:val="Legenda"/>
        <w:tabs>
          <w:tab w:val="left" w:pos="8460"/>
        </w:tabs>
        <w:ind w:right="96"/>
        <w:rPr>
          <w:b/>
          <w:color w:val="323E4F" w:themeColor="text2" w:themeShade="BF"/>
          <w:szCs w:val="28"/>
        </w:rPr>
      </w:pPr>
      <w:r w:rsidRPr="003B378D">
        <w:rPr>
          <w:b/>
          <w:color w:val="323E4F" w:themeColor="text2" w:themeShade="BF"/>
          <w:szCs w:val="28"/>
        </w:rPr>
        <w:t>MINISTÉRIO DO PLANEAMENTO, FINANÇAS E ECONOMIA AZUL</w:t>
      </w:r>
    </w:p>
    <w:p w:rsidR="00707CE4" w:rsidRPr="00F32CD4" w:rsidRDefault="00707CE4" w:rsidP="00707CE4">
      <w:pPr>
        <w:pStyle w:val="Ttulo2"/>
        <w:tabs>
          <w:tab w:val="left" w:pos="8460"/>
        </w:tabs>
        <w:ind w:right="96"/>
        <w:rPr>
          <w:bCs w:val="0"/>
          <w:color w:val="323E4F" w:themeColor="text2" w:themeShade="BF"/>
          <w:sz w:val="20"/>
          <w:szCs w:val="20"/>
        </w:rPr>
      </w:pPr>
      <w:r w:rsidRPr="00F32CD4">
        <w:rPr>
          <w:bCs w:val="0"/>
          <w:color w:val="323E4F" w:themeColor="text2" w:themeShade="BF"/>
          <w:sz w:val="20"/>
          <w:szCs w:val="20"/>
        </w:rPr>
        <w:t>(Unidade – Disciplina – Trabalho)</w:t>
      </w:r>
    </w:p>
    <w:p w:rsidR="00707CE4" w:rsidRPr="003B378D" w:rsidRDefault="00707CE4" w:rsidP="00707CE4">
      <w:pPr>
        <w:suppressAutoHyphens/>
        <w:jc w:val="center"/>
        <w:outlineLvl w:val="0"/>
        <w:rPr>
          <w:b/>
          <w:color w:val="323E4F" w:themeColor="text2" w:themeShade="BF"/>
          <w:sz w:val="30"/>
          <w:szCs w:val="30"/>
        </w:rPr>
      </w:pPr>
      <w:r w:rsidRPr="003B378D">
        <w:rPr>
          <w:b/>
          <w:color w:val="323E4F" w:themeColor="text2" w:themeShade="BF"/>
          <w:sz w:val="30"/>
          <w:szCs w:val="30"/>
        </w:rPr>
        <w:t xml:space="preserve">AGÊNCIA FIDUCIÁRIA DE ADMINISTRAÇÃO DE PROJETOS </w:t>
      </w:r>
    </w:p>
    <w:p w:rsidR="00707CE4" w:rsidRPr="003B378D" w:rsidRDefault="00707CE4" w:rsidP="00707CE4">
      <w:pPr>
        <w:suppressAutoHyphens/>
        <w:jc w:val="center"/>
        <w:outlineLvl w:val="0"/>
        <w:rPr>
          <w:b/>
          <w:color w:val="323E4F" w:themeColor="text2" w:themeShade="BF"/>
          <w:sz w:val="30"/>
          <w:szCs w:val="30"/>
        </w:rPr>
      </w:pPr>
      <w:r w:rsidRPr="003B378D">
        <w:rPr>
          <w:b/>
          <w:color w:val="323E4F" w:themeColor="text2" w:themeShade="BF"/>
          <w:sz w:val="30"/>
          <w:szCs w:val="30"/>
        </w:rPr>
        <w:t>PROJETO REFORÇO DAS CAPACIDADES INSTITUCIONAIS</w:t>
      </w:r>
    </w:p>
    <w:p w:rsidR="00707CE4" w:rsidRPr="00F32CD4" w:rsidRDefault="00707CE4" w:rsidP="00707CE4">
      <w:pPr>
        <w:pStyle w:val="Subttulo"/>
        <w:rPr>
          <w:sz w:val="26"/>
          <w:szCs w:val="26"/>
        </w:rPr>
      </w:pPr>
    </w:p>
    <w:p w:rsidR="00707CE4" w:rsidRPr="003B230A" w:rsidRDefault="00707CE4" w:rsidP="00707CE4">
      <w:pPr>
        <w:pStyle w:val="Style3"/>
        <w:rPr>
          <w:rFonts w:ascii="Times New Roman" w:hAnsi="Times New Roman" w:cs="Times New Roman"/>
          <w:sz w:val="28"/>
        </w:rPr>
      </w:pPr>
      <w:r w:rsidRPr="0030499E">
        <w:rPr>
          <w:rFonts w:ascii="Times New Roman" w:hAnsi="Times New Roman" w:cs="Times New Roman"/>
          <w:sz w:val="28"/>
        </w:rPr>
        <w:t>Concurso N°: 73/G/PRCI/2021</w:t>
      </w:r>
    </w:p>
    <w:p w:rsidR="00707CE4" w:rsidRPr="00F32CD4" w:rsidRDefault="00707CE4" w:rsidP="00707CE4">
      <w:pPr>
        <w:tabs>
          <w:tab w:val="left" w:pos="284"/>
        </w:tabs>
        <w:ind w:left="851" w:hanging="851"/>
        <w:rPr>
          <w:sz w:val="26"/>
          <w:szCs w:val="26"/>
        </w:rPr>
      </w:pPr>
    </w:p>
    <w:p w:rsidR="00707CE4" w:rsidRPr="00F32CD4" w:rsidRDefault="00707CE4" w:rsidP="00707CE4">
      <w:pPr>
        <w:tabs>
          <w:tab w:val="left" w:pos="284"/>
        </w:tabs>
        <w:spacing w:before="120"/>
        <w:ind w:left="270" w:right="28" w:hanging="270"/>
        <w:jc w:val="both"/>
        <w:rPr>
          <w:sz w:val="26"/>
          <w:szCs w:val="26"/>
        </w:rPr>
      </w:pPr>
      <w:r w:rsidRPr="0030499E">
        <w:rPr>
          <w:sz w:val="26"/>
          <w:szCs w:val="26"/>
          <w:lang w:val="pt-PT"/>
        </w:rPr>
        <w:t>O Governo da República Democrática de São Tomé e Príncipe obteve um donativo da Associação Internacional de Desenvolvimento (AID) no valor equivalente a US$ 12 milhões para o financiamento do Projeto Reforço das Capacidades Institucionais e pretende aplicar parte deste crédito no pagamento, mediante contrato, do fornecimento de Materiais de Construção e Equipamentos para a Requalificação do Edifício da Administração Tributária na Região Autónoma do Príncipe. Poderão participar no concurso todos os candidatos dos países elegíveis, conforme definido nas “</w:t>
      </w:r>
      <w:r w:rsidRPr="00F32CD4">
        <w:rPr>
          <w:sz w:val="26"/>
          <w:szCs w:val="26"/>
        </w:rPr>
        <w:t xml:space="preserve">Regulamento de </w:t>
      </w:r>
      <w:r w:rsidR="00A34393">
        <w:rPr>
          <w:sz w:val="26"/>
          <w:szCs w:val="26"/>
        </w:rPr>
        <w:t>Licitações</w:t>
      </w:r>
      <w:r w:rsidRPr="00F32CD4">
        <w:rPr>
          <w:sz w:val="26"/>
          <w:szCs w:val="26"/>
        </w:rPr>
        <w:t xml:space="preserve"> para os Mutuários dos Projetos de Investimento </w:t>
      </w:r>
      <w:r w:rsidRPr="0030499E">
        <w:rPr>
          <w:sz w:val="26"/>
          <w:szCs w:val="26"/>
        </w:rPr>
        <w:t>Financiados pelo Banco Mundial, de julho de 2016 e revisto em novembro de 2017 e agosto de 2018.</w:t>
      </w:r>
    </w:p>
    <w:p w:rsidR="00707CE4" w:rsidRPr="0030499E" w:rsidRDefault="00707CE4" w:rsidP="00D173C4">
      <w:pPr>
        <w:pStyle w:val="PargrafodaLista"/>
        <w:jc w:val="both"/>
        <w:rPr>
          <w:sz w:val="26"/>
          <w:szCs w:val="26"/>
          <w:lang w:val="pt-PT"/>
        </w:rPr>
      </w:pPr>
    </w:p>
    <w:p w:rsidR="00707CE4" w:rsidRPr="003B230A" w:rsidRDefault="00707CE4" w:rsidP="00707CE4">
      <w:pPr>
        <w:pStyle w:val="PargrafodaLista"/>
        <w:numPr>
          <w:ilvl w:val="0"/>
          <w:numId w:val="1"/>
        </w:numPr>
        <w:jc w:val="both"/>
        <w:rPr>
          <w:sz w:val="26"/>
          <w:szCs w:val="26"/>
          <w:lang w:val="pt-PT"/>
        </w:rPr>
      </w:pPr>
      <w:r w:rsidRPr="003B230A">
        <w:rPr>
          <w:sz w:val="26"/>
          <w:szCs w:val="26"/>
        </w:rPr>
        <w:t>A Agência Fiduciária de Administração de Projetos convida as empresas interessadas para apresentarem propostas, fechadas, para o fornecimento</w:t>
      </w:r>
      <w:r>
        <w:rPr>
          <w:sz w:val="26"/>
          <w:szCs w:val="26"/>
        </w:rPr>
        <w:t xml:space="preserve"> desses materiais e equipamentos</w:t>
      </w:r>
      <w:r w:rsidRPr="003B230A">
        <w:rPr>
          <w:sz w:val="26"/>
          <w:szCs w:val="26"/>
        </w:rPr>
        <w:t xml:space="preserve">, </w:t>
      </w:r>
      <w:r w:rsidR="00A34393" w:rsidRPr="003B230A">
        <w:rPr>
          <w:sz w:val="26"/>
          <w:szCs w:val="26"/>
        </w:rPr>
        <w:t>constituído</w:t>
      </w:r>
      <w:r w:rsidRPr="003B230A">
        <w:rPr>
          <w:sz w:val="26"/>
          <w:szCs w:val="26"/>
        </w:rPr>
        <w:t xml:space="preserve"> pelos seguintes Lotes:</w:t>
      </w:r>
    </w:p>
    <w:p w:rsidR="00707CE4" w:rsidRPr="00F32CD4" w:rsidRDefault="00707CE4" w:rsidP="00707CE4">
      <w:pPr>
        <w:ind w:left="360"/>
        <w:jc w:val="both"/>
        <w:rPr>
          <w:sz w:val="26"/>
          <w:szCs w:val="26"/>
        </w:rPr>
      </w:pPr>
      <w:bookmarkStart w:id="0" w:name="_Hlk70430047"/>
    </w:p>
    <w:p w:rsidR="00707CE4" w:rsidRPr="0030499E" w:rsidRDefault="00707CE4" w:rsidP="00707CE4">
      <w:pPr>
        <w:pStyle w:val="PargrafodaLista"/>
        <w:jc w:val="both"/>
        <w:rPr>
          <w:sz w:val="26"/>
          <w:szCs w:val="26"/>
        </w:rPr>
      </w:pPr>
      <w:r w:rsidRPr="0030499E">
        <w:rPr>
          <w:sz w:val="26"/>
          <w:szCs w:val="26"/>
        </w:rPr>
        <w:t>Lote I    : Materiais Arquitetura.</w:t>
      </w:r>
    </w:p>
    <w:p w:rsidR="00707CE4" w:rsidRPr="0030499E" w:rsidRDefault="00707CE4" w:rsidP="00707CE4">
      <w:pPr>
        <w:pStyle w:val="PargrafodaLista"/>
        <w:jc w:val="both"/>
        <w:rPr>
          <w:sz w:val="26"/>
          <w:szCs w:val="26"/>
        </w:rPr>
      </w:pPr>
      <w:r w:rsidRPr="0030499E">
        <w:rPr>
          <w:sz w:val="26"/>
          <w:szCs w:val="26"/>
        </w:rPr>
        <w:t>Lote II  : Eletricidade e Telecomunicações.</w:t>
      </w:r>
    </w:p>
    <w:p w:rsidR="00707CE4" w:rsidRPr="003B230A" w:rsidRDefault="00707CE4" w:rsidP="00707CE4">
      <w:pPr>
        <w:pStyle w:val="PargrafodaLista"/>
        <w:jc w:val="both"/>
        <w:rPr>
          <w:sz w:val="26"/>
          <w:szCs w:val="26"/>
        </w:rPr>
      </w:pPr>
      <w:r w:rsidRPr="0030499E">
        <w:rPr>
          <w:sz w:val="26"/>
          <w:szCs w:val="26"/>
        </w:rPr>
        <w:t>Lote III : Diversos</w:t>
      </w:r>
    </w:p>
    <w:p w:rsidR="00707CE4" w:rsidRPr="00F32CD4" w:rsidRDefault="00707CE4" w:rsidP="00707CE4">
      <w:pPr>
        <w:ind w:left="360"/>
        <w:jc w:val="both"/>
        <w:rPr>
          <w:sz w:val="26"/>
          <w:szCs w:val="26"/>
        </w:rPr>
      </w:pPr>
    </w:p>
    <w:p w:rsidR="00D173C4" w:rsidRDefault="00707CE4" w:rsidP="00707CE4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 w:rsidRPr="003B230A">
        <w:rPr>
          <w:sz w:val="26"/>
          <w:szCs w:val="26"/>
        </w:rPr>
        <w:t>Os Concorrentes interessados poderão obter mais informações, examinar os Documentos de Licitação ou levantá-los na Agência Fiduciária de Administração d</w:t>
      </w:r>
      <w:r>
        <w:rPr>
          <w:sz w:val="26"/>
          <w:szCs w:val="26"/>
        </w:rPr>
        <w:t>e P</w:t>
      </w:r>
      <w:r w:rsidRPr="003B230A">
        <w:rPr>
          <w:sz w:val="26"/>
          <w:szCs w:val="26"/>
        </w:rPr>
        <w:t>rojeto</w:t>
      </w:r>
      <w:r>
        <w:rPr>
          <w:sz w:val="26"/>
          <w:szCs w:val="26"/>
        </w:rPr>
        <w:t>s</w:t>
      </w:r>
      <w:r w:rsidRPr="003B230A">
        <w:rPr>
          <w:sz w:val="26"/>
          <w:szCs w:val="26"/>
        </w:rPr>
        <w:t xml:space="preserve">, Edifício do AfrilandFirst Bank, 2º Andar, Avenida KwameNkrumah, São Tomé, São Tomé e Príncipe, pela importância não reembolsável de </w:t>
      </w:r>
      <w:r w:rsidRPr="003B230A">
        <w:rPr>
          <w:b/>
          <w:sz w:val="26"/>
          <w:szCs w:val="26"/>
        </w:rPr>
        <w:t>duzentas dobras (STD 200,00)</w:t>
      </w:r>
      <w:r w:rsidRPr="003B230A">
        <w:rPr>
          <w:sz w:val="26"/>
          <w:szCs w:val="26"/>
        </w:rPr>
        <w:t>.</w:t>
      </w:r>
    </w:p>
    <w:p w:rsidR="00707CE4" w:rsidRDefault="00707CE4" w:rsidP="00D173C4">
      <w:pPr>
        <w:pStyle w:val="PargrafodaLista"/>
        <w:jc w:val="both"/>
        <w:rPr>
          <w:sz w:val="26"/>
          <w:szCs w:val="26"/>
        </w:rPr>
      </w:pPr>
    </w:p>
    <w:p w:rsidR="00D173C4" w:rsidRPr="003B230A" w:rsidRDefault="00D173C4" w:rsidP="00707CE4">
      <w:pPr>
        <w:pStyle w:val="Pargrafoda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Pedidos de Esclarecimentos poderão ser enviados para o endereço abaixo, até ao dia 20 de maio de 2021.</w:t>
      </w:r>
    </w:p>
    <w:p w:rsidR="00707CE4" w:rsidRPr="003B230A" w:rsidRDefault="00707CE4" w:rsidP="00707CE4">
      <w:pPr>
        <w:jc w:val="both"/>
        <w:rPr>
          <w:sz w:val="20"/>
          <w:szCs w:val="20"/>
        </w:rPr>
      </w:pPr>
    </w:p>
    <w:p w:rsidR="00707CE4" w:rsidRDefault="00707CE4" w:rsidP="00707CE4">
      <w:pPr>
        <w:pStyle w:val="PargrafodaLista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3B230A">
        <w:rPr>
          <w:sz w:val="26"/>
          <w:szCs w:val="26"/>
        </w:rPr>
        <w:t xml:space="preserve">As Propostas deverão ser entregues no endereço abaixo até </w:t>
      </w:r>
      <w:r w:rsidRPr="003B230A">
        <w:rPr>
          <w:b/>
          <w:sz w:val="26"/>
          <w:szCs w:val="26"/>
        </w:rPr>
        <w:t xml:space="preserve">15 horas do dia </w:t>
      </w:r>
      <w:r>
        <w:rPr>
          <w:b/>
          <w:sz w:val="26"/>
          <w:szCs w:val="26"/>
        </w:rPr>
        <w:t>28</w:t>
      </w:r>
      <w:r w:rsidRPr="003B230A">
        <w:rPr>
          <w:b/>
          <w:sz w:val="26"/>
          <w:szCs w:val="26"/>
        </w:rPr>
        <w:t xml:space="preserve"> de maio de 20</w:t>
      </w:r>
      <w:r>
        <w:rPr>
          <w:b/>
          <w:sz w:val="26"/>
          <w:szCs w:val="26"/>
        </w:rPr>
        <w:t>2</w:t>
      </w:r>
      <w:r w:rsidRPr="003B230A">
        <w:rPr>
          <w:b/>
          <w:sz w:val="26"/>
          <w:szCs w:val="26"/>
        </w:rPr>
        <w:t>1</w:t>
      </w:r>
      <w:r w:rsidRPr="003B230A">
        <w:rPr>
          <w:sz w:val="26"/>
          <w:szCs w:val="26"/>
        </w:rPr>
        <w:t xml:space="preserve"> e serão abertas em sessão pública, no mesmo endereço, na mesma data e hora, na presença dos Concorrentes que desejarem comparecer.</w:t>
      </w:r>
    </w:p>
    <w:p w:rsidR="00D173C4" w:rsidRPr="00D173C4" w:rsidRDefault="00D173C4" w:rsidP="00D173C4">
      <w:pPr>
        <w:pStyle w:val="PargrafodaLista"/>
        <w:rPr>
          <w:sz w:val="26"/>
          <w:szCs w:val="26"/>
        </w:rPr>
      </w:pPr>
    </w:p>
    <w:p w:rsidR="00D173C4" w:rsidRPr="003B230A" w:rsidRDefault="00D173C4" w:rsidP="00707CE4">
      <w:pPr>
        <w:pStyle w:val="PargrafodaLista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Concorrentes </w:t>
      </w:r>
      <w:r w:rsidR="007F7944">
        <w:rPr>
          <w:sz w:val="26"/>
          <w:szCs w:val="26"/>
        </w:rPr>
        <w:t xml:space="preserve">também </w:t>
      </w:r>
      <w:r>
        <w:rPr>
          <w:sz w:val="26"/>
          <w:szCs w:val="26"/>
        </w:rPr>
        <w:t>poderão enviar a</w:t>
      </w:r>
      <w:r w:rsidR="00EA52D6">
        <w:rPr>
          <w:sz w:val="26"/>
          <w:szCs w:val="26"/>
        </w:rPr>
        <w:t>s</w:t>
      </w:r>
      <w:r>
        <w:rPr>
          <w:sz w:val="26"/>
          <w:szCs w:val="26"/>
        </w:rPr>
        <w:t xml:space="preserve"> suas propostas por </w:t>
      </w:r>
      <w:r w:rsidR="007F7944">
        <w:rPr>
          <w:sz w:val="26"/>
          <w:szCs w:val="26"/>
        </w:rPr>
        <w:t>e-mail</w:t>
      </w:r>
      <w:r>
        <w:rPr>
          <w:sz w:val="26"/>
          <w:szCs w:val="26"/>
        </w:rPr>
        <w:t>,</w:t>
      </w:r>
      <w:r w:rsidR="007F7944">
        <w:rPr>
          <w:sz w:val="26"/>
          <w:szCs w:val="26"/>
        </w:rPr>
        <w:t xml:space="preserve"> em formato PDF comprimido e encriptado com uma senha de proteção fiável. A senha de proteção será enviada a AFAP no dia 28 de maio de 2021 antes do horário de abertura das propostas. </w:t>
      </w:r>
    </w:p>
    <w:p w:rsidR="00707CE4" w:rsidRPr="00F32CD4" w:rsidRDefault="00707CE4" w:rsidP="00707CE4">
      <w:pPr>
        <w:spacing w:before="120"/>
        <w:ind w:left="270" w:hanging="270"/>
        <w:jc w:val="both"/>
        <w:rPr>
          <w:sz w:val="26"/>
          <w:szCs w:val="26"/>
        </w:rPr>
      </w:pPr>
    </w:p>
    <w:p w:rsidR="00707CE4" w:rsidRPr="00F32CD4" w:rsidRDefault="00707CE4" w:rsidP="00707CE4">
      <w:pPr>
        <w:ind w:left="270" w:hanging="270"/>
        <w:jc w:val="both"/>
        <w:rPr>
          <w:sz w:val="26"/>
          <w:szCs w:val="26"/>
        </w:rPr>
      </w:pPr>
      <w:r w:rsidRPr="00F32CD4">
        <w:rPr>
          <w:sz w:val="26"/>
          <w:szCs w:val="26"/>
        </w:rPr>
        <w:tab/>
      </w:r>
      <w:r w:rsidRPr="00F32CD4">
        <w:rPr>
          <w:sz w:val="26"/>
          <w:szCs w:val="26"/>
        </w:rPr>
        <w:tab/>
      </w:r>
      <w:r w:rsidRPr="00F32CD4">
        <w:rPr>
          <w:sz w:val="26"/>
          <w:szCs w:val="26"/>
        </w:rPr>
        <w:tab/>
      </w:r>
      <w:r w:rsidRPr="00F32CD4">
        <w:rPr>
          <w:b/>
          <w:i/>
          <w:sz w:val="26"/>
          <w:szCs w:val="26"/>
        </w:rPr>
        <w:t xml:space="preserve">Endereço: </w:t>
      </w:r>
      <w:r w:rsidRPr="00F32CD4">
        <w:rPr>
          <w:sz w:val="26"/>
          <w:szCs w:val="26"/>
        </w:rPr>
        <w:t xml:space="preserve">Agência Fiduciária de Administração do </w:t>
      </w:r>
      <w:r>
        <w:rPr>
          <w:sz w:val="26"/>
          <w:szCs w:val="26"/>
        </w:rPr>
        <w:t>P</w:t>
      </w:r>
      <w:r w:rsidRPr="00F32CD4">
        <w:rPr>
          <w:sz w:val="26"/>
          <w:szCs w:val="26"/>
        </w:rPr>
        <w:t>rojeto</w:t>
      </w:r>
      <w:r>
        <w:rPr>
          <w:sz w:val="26"/>
          <w:szCs w:val="26"/>
        </w:rPr>
        <w:t>s</w:t>
      </w:r>
    </w:p>
    <w:p w:rsidR="00707CE4" w:rsidRPr="00F32CD4" w:rsidRDefault="00707CE4" w:rsidP="00707CE4">
      <w:pPr>
        <w:ind w:left="270" w:hanging="270"/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 Edifício do AfrilandFirst Bank, </w:t>
      </w:r>
      <w:r>
        <w:rPr>
          <w:sz w:val="26"/>
          <w:szCs w:val="26"/>
        </w:rPr>
        <w:t>3</w:t>
      </w:r>
      <w:r w:rsidRPr="00F32CD4">
        <w:rPr>
          <w:sz w:val="26"/>
          <w:szCs w:val="26"/>
        </w:rPr>
        <w:t xml:space="preserve">º Andar </w:t>
      </w:r>
    </w:p>
    <w:p w:rsidR="00707CE4" w:rsidRPr="00F32CD4" w:rsidRDefault="00707CE4" w:rsidP="00707CE4">
      <w:pPr>
        <w:ind w:left="270" w:hanging="270"/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                                          Av. KwameNkrumah</w:t>
      </w:r>
    </w:p>
    <w:p w:rsidR="00707CE4" w:rsidRPr="00F32CD4" w:rsidRDefault="00707CE4" w:rsidP="00707CE4">
      <w:pPr>
        <w:ind w:left="270" w:hanging="270"/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                                          S. Tomé, S. Tomé e Príncipe</w:t>
      </w:r>
    </w:p>
    <w:p w:rsidR="00707CE4" w:rsidRPr="00F32CD4" w:rsidRDefault="00FF5C2D" w:rsidP="00707CE4">
      <w:pPr>
        <w:ind w:left="270" w:hanging="270"/>
        <w:jc w:val="both"/>
        <w:rPr>
          <w:sz w:val="26"/>
          <w:szCs w:val="26"/>
        </w:rPr>
      </w:pPr>
      <w:hyperlink r:id="rId6" w:history="1">
        <w:r w:rsidR="00707CE4" w:rsidRPr="00F32CD4">
          <w:rPr>
            <w:rStyle w:val="Hiperligao"/>
            <w:sz w:val="26"/>
            <w:szCs w:val="26"/>
          </w:rPr>
          <w:t>afap2@yahoo.com.br</w:t>
        </w:r>
      </w:hyperlink>
      <w:r w:rsidR="00707CE4">
        <w:rPr>
          <w:rStyle w:val="Hiperligao"/>
          <w:sz w:val="26"/>
          <w:szCs w:val="26"/>
        </w:rPr>
        <w:t>;  horacio.dias@afap.st</w:t>
      </w:r>
    </w:p>
    <w:p w:rsidR="00707CE4" w:rsidRPr="00F32CD4" w:rsidRDefault="00707CE4" w:rsidP="00707CE4">
      <w:pPr>
        <w:ind w:left="270" w:hanging="270"/>
        <w:jc w:val="both"/>
        <w:rPr>
          <w:b/>
          <w:i/>
          <w:sz w:val="26"/>
          <w:szCs w:val="26"/>
        </w:rPr>
      </w:pPr>
    </w:p>
    <w:p w:rsidR="00707CE4" w:rsidRDefault="00707CE4" w:rsidP="00707CE4">
      <w:p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5. O Período de validade das propostas é de </w:t>
      </w:r>
      <w:r>
        <w:rPr>
          <w:sz w:val="26"/>
          <w:szCs w:val="26"/>
        </w:rPr>
        <w:t>45</w:t>
      </w:r>
      <w:r w:rsidRPr="00F32CD4">
        <w:rPr>
          <w:sz w:val="26"/>
          <w:szCs w:val="26"/>
        </w:rPr>
        <w:t xml:space="preserve"> dias.</w:t>
      </w:r>
    </w:p>
    <w:p w:rsidR="00707CE4" w:rsidRPr="003B230A" w:rsidRDefault="00707CE4" w:rsidP="00707CE4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707CE4" w:rsidRDefault="00707CE4" w:rsidP="00707CE4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F32CD4">
        <w:rPr>
          <w:sz w:val="26"/>
          <w:szCs w:val="26"/>
        </w:rPr>
        <w:t>6. As propostas deverão ser acompanhadas de uma Declaração de Garantia da Proposta.</w:t>
      </w:r>
    </w:p>
    <w:p w:rsidR="00707CE4" w:rsidRPr="003B230A" w:rsidRDefault="00707CE4" w:rsidP="00707CE4">
      <w:pPr>
        <w:tabs>
          <w:tab w:val="left" w:pos="284"/>
        </w:tabs>
        <w:spacing w:before="120"/>
        <w:ind w:left="284" w:hanging="284"/>
        <w:jc w:val="both"/>
        <w:rPr>
          <w:sz w:val="12"/>
          <w:szCs w:val="12"/>
        </w:rPr>
      </w:pPr>
    </w:p>
    <w:p w:rsidR="00707CE4" w:rsidRPr="00F32CD4" w:rsidRDefault="00707CE4" w:rsidP="00707CE4">
      <w:pPr>
        <w:tabs>
          <w:tab w:val="left" w:pos="284"/>
        </w:tabs>
        <w:spacing w:before="120"/>
        <w:ind w:left="270" w:right="28" w:hanging="270"/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7. O Concurso será conduzido por meio da modalidade Pedido de Cotações e regido pelo Regulamento de </w:t>
      </w:r>
      <w:r w:rsidR="00A34393">
        <w:rPr>
          <w:sz w:val="26"/>
          <w:szCs w:val="26"/>
        </w:rPr>
        <w:t>Licitações</w:t>
      </w:r>
      <w:r w:rsidRPr="00F32CD4">
        <w:rPr>
          <w:sz w:val="26"/>
          <w:szCs w:val="26"/>
        </w:rPr>
        <w:t xml:space="preserve"> para os Mutuários dos Projetos de Investimento </w:t>
      </w:r>
      <w:r w:rsidRPr="0030499E">
        <w:rPr>
          <w:sz w:val="26"/>
          <w:szCs w:val="26"/>
        </w:rPr>
        <w:t>Financiados pelo Banco Mundial, de julho de 2016 e revisto em novembro de 2017 e agosto de 2018.</w:t>
      </w:r>
    </w:p>
    <w:p w:rsidR="00707CE4" w:rsidRPr="003B230A" w:rsidRDefault="00707CE4" w:rsidP="00707CE4">
      <w:pPr>
        <w:jc w:val="both"/>
        <w:rPr>
          <w:sz w:val="40"/>
          <w:szCs w:val="40"/>
        </w:rPr>
      </w:pPr>
    </w:p>
    <w:p w:rsidR="00707CE4" w:rsidRPr="00F32CD4" w:rsidRDefault="00707CE4" w:rsidP="00707CE4">
      <w:pPr>
        <w:jc w:val="both"/>
        <w:rPr>
          <w:sz w:val="26"/>
          <w:szCs w:val="26"/>
        </w:rPr>
      </w:pPr>
      <w:r w:rsidRPr="00F32CD4">
        <w:rPr>
          <w:sz w:val="26"/>
          <w:szCs w:val="26"/>
        </w:rPr>
        <w:t xml:space="preserve">Agência Fiduciária e de Administração de Projetos em S. Tomé, aos </w:t>
      </w:r>
      <w:r>
        <w:rPr>
          <w:sz w:val="26"/>
          <w:szCs w:val="26"/>
        </w:rPr>
        <w:t>26</w:t>
      </w:r>
      <w:r w:rsidRPr="00F32CD4">
        <w:rPr>
          <w:sz w:val="26"/>
          <w:szCs w:val="26"/>
        </w:rPr>
        <w:t xml:space="preserve"> dias de abril de 20</w:t>
      </w:r>
      <w:r>
        <w:rPr>
          <w:sz w:val="26"/>
          <w:szCs w:val="26"/>
        </w:rPr>
        <w:t>2</w:t>
      </w:r>
      <w:r w:rsidRPr="00F32CD4">
        <w:rPr>
          <w:sz w:val="26"/>
          <w:szCs w:val="26"/>
        </w:rPr>
        <w:t>1.</w:t>
      </w:r>
    </w:p>
    <w:p w:rsidR="00707CE4" w:rsidRPr="00F32CD4" w:rsidRDefault="00707CE4" w:rsidP="00707CE4">
      <w:pPr>
        <w:pStyle w:val="Legenda"/>
        <w:rPr>
          <w:sz w:val="26"/>
          <w:szCs w:val="26"/>
        </w:rPr>
      </w:pPr>
    </w:p>
    <w:p w:rsidR="00707CE4" w:rsidRPr="00F32CD4" w:rsidRDefault="00707CE4" w:rsidP="00707CE4">
      <w:pPr>
        <w:jc w:val="center"/>
        <w:rPr>
          <w:sz w:val="26"/>
          <w:szCs w:val="26"/>
        </w:rPr>
      </w:pPr>
      <w:r w:rsidRPr="00F32CD4">
        <w:rPr>
          <w:sz w:val="26"/>
          <w:szCs w:val="26"/>
        </w:rPr>
        <w:t xml:space="preserve">O </w:t>
      </w:r>
      <w:r>
        <w:rPr>
          <w:sz w:val="26"/>
          <w:szCs w:val="26"/>
        </w:rPr>
        <w:t>Diretor Geral</w:t>
      </w:r>
      <w:r w:rsidRPr="00F32CD4">
        <w:rPr>
          <w:sz w:val="26"/>
          <w:szCs w:val="26"/>
        </w:rPr>
        <w:t>,</w:t>
      </w:r>
    </w:p>
    <w:p w:rsidR="00707CE4" w:rsidRPr="00F32CD4" w:rsidRDefault="00707CE4" w:rsidP="00707CE4">
      <w:pPr>
        <w:jc w:val="center"/>
        <w:rPr>
          <w:sz w:val="26"/>
          <w:szCs w:val="26"/>
        </w:rPr>
      </w:pPr>
    </w:p>
    <w:p w:rsidR="00707CE4" w:rsidRPr="00F32CD4" w:rsidRDefault="00707CE4" w:rsidP="00707CE4">
      <w:pPr>
        <w:jc w:val="both"/>
        <w:rPr>
          <w:sz w:val="26"/>
          <w:szCs w:val="26"/>
        </w:rPr>
      </w:pPr>
    </w:p>
    <w:p w:rsidR="00707CE4" w:rsidRPr="00F32CD4" w:rsidRDefault="00707CE4" w:rsidP="00707CE4">
      <w:pPr>
        <w:jc w:val="center"/>
        <w:rPr>
          <w:sz w:val="26"/>
          <w:szCs w:val="26"/>
        </w:rPr>
      </w:pPr>
      <w:r w:rsidRPr="00F32CD4">
        <w:rPr>
          <w:sz w:val="26"/>
          <w:szCs w:val="26"/>
        </w:rPr>
        <w:t>_________________</w:t>
      </w:r>
    </w:p>
    <w:bookmarkEnd w:id="0"/>
    <w:p w:rsidR="00707CE4" w:rsidRPr="00291B47" w:rsidRDefault="00707CE4" w:rsidP="00707CE4">
      <w:pPr>
        <w:jc w:val="center"/>
        <w:rPr>
          <w:sz w:val="26"/>
          <w:szCs w:val="26"/>
        </w:rPr>
      </w:pPr>
      <w:r w:rsidRPr="00F32CD4">
        <w:rPr>
          <w:sz w:val="26"/>
          <w:szCs w:val="26"/>
        </w:rPr>
        <w:t>Alberto F. Leal</w:t>
      </w:r>
    </w:p>
    <w:p w:rsidR="00707CE4" w:rsidRDefault="00707CE4" w:rsidP="00707CE4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707CE4" w:rsidRDefault="00707CE4" w:rsidP="00707CE4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707CE4" w:rsidRDefault="00707CE4" w:rsidP="00707CE4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2B632B" w:rsidRDefault="002B632B" w:rsidP="007F7944">
      <w:pPr>
        <w:rPr>
          <w:bCs/>
          <w:szCs w:val="20"/>
          <w:lang w:val="en-US" w:eastAsia="en-US"/>
        </w:rPr>
      </w:pPr>
    </w:p>
    <w:p w:rsidR="00EA52D6" w:rsidRPr="007F7944" w:rsidRDefault="00EA52D6" w:rsidP="007F7944">
      <w:pPr>
        <w:rPr>
          <w:lang w:val="en-US"/>
        </w:rPr>
      </w:pPr>
    </w:p>
    <w:sectPr w:rsidR="00EA52D6" w:rsidRPr="007F7944" w:rsidSect="00BE5775">
      <w:pgSz w:w="12240" w:h="15840"/>
      <w:pgMar w:top="1418" w:right="510" w:bottom="851" w:left="1304" w:header="714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46"/>
    <w:multiLevelType w:val="hybridMultilevel"/>
    <w:tmpl w:val="EB74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0D29"/>
    <w:multiLevelType w:val="hybridMultilevel"/>
    <w:tmpl w:val="0E541C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707CE4"/>
    <w:rsid w:val="002B632B"/>
    <w:rsid w:val="00707CE4"/>
    <w:rsid w:val="007F7944"/>
    <w:rsid w:val="00965E0B"/>
    <w:rsid w:val="00A34393"/>
    <w:rsid w:val="00BE5775"/>
    <w:rsid w:val="00D173C4"/>
    <w:rsid w:val="00EA52D6"/>
    <w:rsid w:val="00FF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arcter"/>
    <w:qFormat/>
    <w:rsid w:val="00707CE4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707CE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707CE4"/>
    <w:pPr>
      <w:ind w:left="284"/>
      <w:jc w:val="center"/>
    </w:pPr>
    <w:rPr>
      <w:sz w:val="28"/>
      <w:lang w:val="pt-PT" w:eastAsia="pt-PT"/>
    </w:rPr>
  </w:style>
  <w:style w:type="paragraph" w:styleId="Subttulo">
    <w:name w:val="Subtitle"/>
    <w:basedOn w:val="Normal"/>
    <w:link w:val="SubttuloCarcter"/>
    <w:qFormat/>
    <w:rsid w:val="00707CE4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707CE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styleId="Hiperligao">
    <w:name w:val="Hyperlink"/>
    <w:basedOn w:val="Tipodeletrapredefinidodopargrafo"/>
    <w:autoRedefine/>
    <w:uiPriority w:val="99"/>
    <w:rsid w:val="00707CE4"/>
    <w:rPr>
      <w:noProof/>
      <w:color w:val="0000FF"/>
      <w:sz w:val="27"/>
      <w:szCs w:val="32"/>
      <w:u w:val="single"/>
    </w:rPr>
  </w:style>
  <w:style w:type="paragraph" w:customStyle="1" w:styleId="Style3">
    <w:name w:val="Style3"/>
    <w:basedOn w:val="Normal"/>
    <w:next w:val="Normal"/>
    <w:rsid w:val="00707CE4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styleId="PargrafodaLista">
    <w:name w:val="List Paragraph"/>
    <w:basedOn w:val="Normal"/>
    <w:uiPriority w:val="34"/>
    <w:qFormat/>
    <w:rsid w:val="00707CE4"/>
    <w:pPr>
      <w:ind w:left="720"/>
      <w:contextualSpacing/>
    </w:pPr>
  </w:style>
  <w:style w:type="paragraph" w:customStyle="1" w:styleId="BankNormal">
    <w:name w:val="BankNormal"/>
    <w:basedOn w:val="Normal"/>
    <w:rsid w:val="007F7944"/>
    <w:pPr>
      <w:spacing w:after="240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p2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Dias</dc:creator>
  <cp:lastModifiedBy>ABEL VEIGA</cp:lastModifiedBy>
  <cp:revision>2</cp:revision>
  <cp:lastPrinted>2021-04-27T12:53:00Z</cp:lastPrinted>
  <dcterms:created xsi:type="dcterms:W3CDTF">2021-04-28T07:08:00Z</dcterms:created>
  <dcterms:modified xsi:type="dcterms:W3CDTF">2021-04-28T07:08:00Z</dcterms:modified>
</cp:coreProperties>
</file>