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EB" w:rsidRDefault="000A0AEB" w:rsidP="004E7CEA">
      <w:pPr>
        <w:jc w:val="center"/>
        <w:rPr>
          <w:rFonts w:ascii="Corbel" w:hAnsi="Corbel"/>
          <w:b/>
          <w:color w:val="70AD47" w:themeColor="accent6"/>
          <w:sz w:val="40"/>
        </w:rPr>
      </w:pPr>
    </w:p>
    <w:p w:rsidR="00A16B16" w:rsidRDefault="00A16B16" w:rsidP="004E7CEA">
      <w:pPr>
        <w:jc w:val="center"/>
        <w:rPr>
          <w:rFonts w:ascii="Corbel" w:hAnsi="Corbel"/>
          <w:b/>
          <w:color w:val="70AD47" w:themeColor="accent6"/>
          <w:sz w:val="40"/>
        </w:rPr>
      </w:pPr>
    </w:p>
    <w:p w:rsidR="00A16B16" w:rsidRPr="000A0AEB" w:rsidRDefault="00A16B16" w:rsidP="004E7CEA">
      <w:pPr>
        <w:jc w:val="center"/>
        <w:rPr>
          <w:rFonts w:ascii="Corbel" w:hAnsi="Corbel"/>
          <w:b/>
          <w:color w:val="70AD47" w:themeColor="accent6"/>
          <w:sz w:val="40"/>
        </w:rPr>
      </w:pPr>
    </w:p>
    <w:p w:rsidR="004E7CEA" w:rsidRDefault="004E7CEA" w:rsidP="004E7CEA">
      <w:pPr>
        <w:jc w:val="center"/>
        <w:rPr>
          <w:rFonts w:ascii="Corbel" w:hAnsi="Corbel"/>
          <w:b/>
          <w:color w:val="808080" w:themeColor="background1" w:themeShade="80"/>
          <w:sz w:val="40"/>
        </w:rPr>
      </w:pPr>
    </w:p>
    <w:p w:rsidR="00A16B16" w:rsidRPr="00A16B16" w:rsidRDefault="00A16B16" w:rsidP="00A16B16">
      <w:pPr>
        <w:jc w:val="center"/>
        <w:rPr>
          <w:rFonts w:ascii="Corbel" w:hAnsi="Corbel"/>
          <w:b/>
          <w:sz w:val="48"/>
        </w:rPr>
      </w:pPr>
      <w:r w:rsidRPr="00A16B16">
        <w:rPr>
          <w:rFonts w:ascii="Corbel" w:hAnsi="Corbel"/>
          <w:b/>
          <w:sz w:val="48"/>
        </w:rPr>
        <w:t xml:space="preserve">ENVIRONMENTAL and SOCIAL </w:t>
      </w:r>
    </w:p>
    <w:p w:rsidR="00A16B16" w:rsidRDefault="00A16B16" w:rsidP="00A16B16">
      <w:pPr>
        <w:jc w:val="center"/>
        <w:rPr>
          <w:rFonts w:ascii="Corbel" w:hAnsi="Corbel"/>
          <w:b/>
          <w:sz w:val="48"/>
        </w:rPr>
      </w:pPr>
      <w:r w:rsidRPr="00A16B16">
        <w:rPr>
          <w:rFonts w:ascii="Corbel" w:hAnsi="Corbel"/>
          <w:b/>
          <w:sz w:val="48"/>
        </w:rPr>
        <w:t xml:space="preserve">COMMITMENT PLAN (ESCP) </w:t>
      </w:r>
    </w:p>
    <w:p w:rsidR="00A16B16" w:rsidRDefault="00A16B16" w:rsidP="00A16B16">
      <w:pPr>
        <w:jc w:val="center"/>
        <w:rPr>
          <w:rFonts w:ascii="Corbel" w:hAnsi="Corbel"/>
          <w:b/>
          <w:sz w:val="48"/>
        </w:rPr>
      </w:pPr>
    </w:p>
    <w:p w:rsidR="00A16B16" w:rsidRDefault="00A16B16" w:rsidP="00A16B16">
      <w:pPr>
        <w:jc w:val="center"/>
        <w:rPr>
          <w:rFonts w:ascii="Corbel" w:hAnsi="Corbel"/>
          <w:b/>
          <w:sz w:val="48"/>
        </w:rPr>
      </w:pPr>
    </w:p>
    <w:p w:rsidR="00A16B16" w:rsidRPr="00A16B16" w:rsidRDefault="00A16B16" w:rsidP="00A16B16">
      <w:pPr>
        <w:jc w:val="center"/>
        <w:rPr>
          <w:rFonts w:ascii="Corbel" w:hAnsi="Corbel"/>
          <w:b/>
          <w:sz w:val="48"/>
        </w:rPr>
      </w:pPr>
      <w:r>
        <w:rPr>
          <w:rFonts w:ascii="Corbel" w:hAnsi="Corbel"/>
          <w:b/>
          <w:sz w:val="48"/>
        </w:rPr>
        <w:t xml:space="preserve">FOR THE </w:t>
      </w:r>
    </w:p>
    <w:p w:rsidR="00A16B16" w:rsidRDefault="00A16B16" w:rsidP="00A16B16">
      <w:pPr>
        <w:jc w:val="center"/>
        <w:rPr>
          <w:rFonts w:ascii="Corbel" w:hAnsi="Corbel"/>
          <w:b/>
          <w:color w:val="4472C4" w:themeColor="accent1"/>
          <w:sz w:val="48"/>
        </w:rPr>
      </w:pPr>
    </w:p>
    <w:p w:rsidR="00A16B16" w:rsidRPr="000A0AEB" w:rsidRDefault="00A16B16" w:rsidP="00A16B16">
      <w:pPr>
        <w:jc w:val="center"/>
        <w:rPr>
          <w:rFonts w:ascii="Corbel" w:hAnsi="Corbel"/>
          <w:b/>
          <w:color w:val="4472C4" w:themeColor="accent1"/>
          <w:sz w:val="48"/>
        </w:rPr>
      </w:pPr>
    </w:p>
    <w:p w:rsidR="00A16B16" w:rsidRDefault="00C04A29" w:rsidP="004E7CEA">
      <w:pPr>
        <w:jc w:val="center"/>
        <w:rPr>
          <w:rFonts w:ascii="Corbel" w:hAnsi="Corbel"/>
          <w:b/>
          <w:sz w:val="48"/>
        </w:rPr>
      </w:pPr>
      <w:r>
        <w:rPr>
          <w:rFonts w:ascii="Corbel" w:hAnsi="Corbel"/>
          <w:b/>
          <w:sz w:val="48"/>
        </w:rPr>
        <w:t>STP</w:t>
      </w:r>
      <w:r w:rsidR="00A16B16">
        <w:rPr>
          <w:rFonts w:ascii="Corbel" w:hAnsi="Corbel"/>
          <w:b/>
          <w:sz w:val="48"/>
        </w:rPr>
        <w:t xml:space="preserve"> DITIGAL PROJEC</w:t>
      </w:r>
      <w:r w:rsidR="00081DC8">
        <w:rPr>
          <w:rFonts w:ascii="Corbel" w:hAnsi="Corbel"/>
          <w:b/>
          <w:sz w:val="48"/>
        </w:rPr>
        <w:t>T</w:t>
      </w:r>
      <w:r w:rsidR="005E72FF">
        <w:rPr>
          <w:rFonts w:ascii="Corbel" w:hAnsi="Corbel"/>
          <w:b/>
          <w:sz w:val="48"/>
        </w:rPr>
        <w:t xml:space="preserve"> - </w:t>
      </w:r>
      <w:r w:rsidR="005E72FF" w:rsidRPr="005E72FF">
        <w:rPr>
          <w:rFonts w:ascii="Corbel" w:hAnsi="Corbel"/>
          <w:b/>
          <w:sz w:val="48"/>
        </w:rPr>
        <w:t>P177158</w:t>
      </w:r>
    </w:p>
    <w:p w:rsidR="00A16B16" w:rsidRDefault="00081DC8" w:rsidP="004E7CEA">
      <w:pPr>
        <w:jc w:val="center"/>
        <w:rPr>
          <w:rFonts w:ascii="Corbel" w:hAnsi="Corbel"/>
          <w:b/>
          <w:sz w:val="48"/>
        </w:rPr>
      </w:pPr>
      <w:r>
        <w:rPr>
          <w:rFonts w:ascii="Corbel" w:hAnsi="Corbel"/>
          <w:b/>
          <w:sz w:val="48"/>
        </w:rPr>
        <w:t>Project Preparation Advance</w:t>
      </w:r>
      <w:r w:rsidR="00155CAC">
        <w:rPr>
          <w:rFonts w:ascii="Corbel" w:hAnsi="Corbel"/>
          <w:b/>
          <w:sz w:val="48"/>
        </w:rPr>
        <w:t>(PPA)</w:t>
      </w:r>
    </w:p>
    <w:p w:rsidR="00A16B16" w:rsidRDefault="00A16B16" w:rsidP="004E7CEA">
      <w:pPr>
        <w:jc w:val="center"/>
        <w:rPr>
          <w:rFonts w:ascii="Corbel" w:hAnsi="Corbel"/>
          <w:b/>
          <w:sz w:val="48"/>
        </w:rPr>
      </w:pPr>
    </w:p>
    <w:p w:rsidR="00A16B16" w:rsidRDefault="00A16B16" w:rsidP="004E7CEA">
      <w:pPr>
        <w:jc w:val="center"/>
        <w:rPr>
          <w:rFonts w:ascii="Corbel" w:hAnsi="Corbel"/>
          <w:b/>
          <w:sz w:val="48"/>
        </w:rPr>
      </w:pPr>
    </w:p>
    <w:p w:rsidR="00A16B16" w:rsidRPr="00A16B16" w:rsidRDefault="00A16B16" w:rsidP="004E7CEA">
      <w:pPr>
        <w:jc w:val="center"/>
        <w:rPr>
          <w:rFonts w:ascii="Corbel" w:hAnsi="Corbel"/>
          <w:b/>
          <w:sz w:val="48"/>
        </w:rPr>
      </w:pPr>
    </w:p>
    <w:p w:rsidR="00155CAC" w:rsidRPr="00561847" w:rsidRDefault="00155CAC" w:rsidP="00155CAC">
      <w:pPr>
        <w:jc w:val="center"/>
        <w:rPr>
          <w:rFonts w:ascii="Corbel" w:hAnsi="Corbel"/>
          <w:b/>
          <w:sz w:val="48"/>
        </w:rPr>
      </w:pPr>
      <w:r>
        <w:rPr>
          <w:rFonts w:ascii="Corbel" w:hAnsi="Corbel"/>
          <w:b/>
          <w:sz w:val="48"/>
        </w:rPr>
        <w:t xml:space="preserve">October 26, 2021 </w:t>
      </w:r>
    </w:p>
    <w:p w:rsidR="00A54559" w:rsidRDefault="004E7CEA" w:rsidP="004E7CEA">
      <w:pPr>
        <w:jc w:val="center"/>
        <w:rPr>
          <w:sz w:val="44"/>
        </w:rPr>
      </w:pPr>
      <w:r w:rsidRPr="004E7CEA">
        <w:rPr>
          <w:sz w:val="44"/>
        </w:rPr>
        <w:br w:type="page"/>
      </w:r>
    </w:p>
    <w:p w:rsidR="000A0AEB" w:rsidRDefault="000A0AEB" w:rsidP="004E7CEA">
      <w:pPr>
        <w:jc w:val="center"/>
        <w:rPr>
          <w:rFonts w:ascii="Calibri" w:hAnsi="Calibri"/>
          <w:b/>
        </w:rPr>
      </w:pPr>
    </w:p>
    <w:p w:rsidR="004E7CEA" w:rsidRPr="000A0AEB" w:rsidRDefault="000A0AEB" w:rsidP="004E7CEA">
      <w:pPr>
        <w:jc w:val="center"/>
        <w:rPr>
          <w:rFonts w:ascii="Calibri" w:hAnsi="Calibri"/>
          <w:b/>
          <w:iCs/>
        </w:rPr>
      </w:pPr>
      <w:r w:rsidRPr="000A0AEB">
        <w:rPr>
          <w:rFonts w:ascii="Calibri" w:hAnsi="Calibri"/>
          <w:b/>
          <w:iCs/>
        </w:rPr>
        <w:t>ENVIRONMENTAL AND SOCIAL COMMITMENT PLAN</w:t>
      </w:r>
    </w:p>
    <w:p w:rsidR="000A0AEB" w:rsidRDefault="000A0AEB" w:rsidP="004E7CEA">
      <w:pPr>
        <w:jc w:val="center"/>
        <w:rPr>
          <w:rFonts w:ascii="Calibri" w:hAnsi="Calibri"/>
          <w:b/>
          <w:i/>
          <w:iCs/>
        </w:rPr>
      </w:pPr>
    </w:p>
    <w:p w:rsidR="004E7CEA" w:rsidRPr="0037747C" w:rsidRDefault="79920FEB" w:rsidP="00860672">
      <w:pPr>
        <w:pStyle w:val="PargrafodaLista"/>
        <w:numPr>
          <w:ilvl w:val="0"/>
          <w:numId w:val="17"/>
        </w:numPr>
        <w:rPr>
          <w:rFonts w:ascii="Calibri" w:hAnsi="Calibri"/>
        </w:rPr>
      </w:pPr>
      <w:r w:rsidRPr="5F88BE35">
        <w:rPr>
          <w:rFonts w:ascii="Calibri" w:hAnsi="Calibri"/>
        </w:rPr>
        <w:t xml:space="preserve">The </w:t>
      </w:r>
      <w:r w:rsidR="34ED11FC" w:rsidRPr="5F88BE35">
        <w:rPr>
          <w:rFonts w:ascii="Calibri" w:hAnsi="Calibri"/>
        </w:rPr>
        <w:t xml:space="preserve">Democratic Republic of </w:t>
      </w:r>
      <w:r w:rsidRPr="5F88BE35">
        <w:rPr>
          <w:rFonts w:ascii="Calibri" w:hAnsi="Calibri"/>
        </w:rPr>
        <w:t xml:space="preserve">São Tomé and Principe </w:t>
      </w:r>
      <w:r w:rsidR="00DB1C3B">
        <w:rPr>
          <w:rFonts w:ascii="Calibri" w:hAnsi="Calibri"/>
        </w:rPr>
        <w:t>(</w:t>
      </w:r>
      <w:r w:rsidR="00DB1C3B" w:rsidRPr="005D0063">
        <w:rPr>
          <w:rFonts w:ascii="Calibri" w:hAnsi="Calibri"/>
          <w:b/>
          <w:bCs/>
        </w:rPr>
        <w:t>the Recipient</w:t>
      </w:r>
      <w:r w:rsidR="005D0063">
        <w:rPr>
          <w:rFonts w:ascii="Calibri" w:hAnsi="Calibri"/>
        </w:rPr>
        <w:t>)</w:t>
      </w:r>
      <w:r w:rsidR="373341CA" w:rsidRPr="5F88BE35">
        <w:rPr>
          <w:rFonts w:ascii="Calibri" w:hAnsi="Calibri"/>
        </w:rPr>
        <w:t>will</w:t>
      </w:r>
      <w:r w:rsidR="1D148203" w:rsidRPr="5F88BE35">
        <w:rPr>
          <w:rFonts w:ascii="Calibri" w:hAnsi="Calibri"/>
        </w:rPr>
        <w:t xml:space="preserve">implement </w:t>
      </w:r>
      <w:r w:rsidR="58519109" w:rsidRPr="5F88BE35">
        <w:rPr>
          <w:rFonts w:ascii="Calibri" w:hAnsi="Calibri"/>
        </w:rPr>
        <w:t xml:space="preserve">the </w:t>
      </w:r>
      <w:r w:rsidRPr="5F88BE35">
        <w:rPr>
          <w:rFonts w:ascii="Calibri" w:hAnsi="Calibri"/>
        </w:rPr>
        <w:t xml:space="preserve">STP </w:t>
      </w:r>
      <w:r w:rsidR="34ED11FC" w:rsidRPr="5F88BE35">
        <w:rPr>
          <w:rFonts w:ascii="Calibri" w:hAnsi="Calibri"/>
        </w:rPr>
        <w:t xml:space="preserve">Digital </w:t>
      </w:r>
      <w:r w:rsidR="6CAC4703" w:rsidRPr="5F88BE35">
        <w:rPr>
          <w:rFonts w:ascii="Calibri" w:hAnsi="Calibri"/>
        </w:rPr>
        <w:t>Project</w:t>
      </w:r>
      <w:r w:rsidR="00DB1C3B">
        <w:rPr>
          <w:rFonts w:ascii="Calibri" w:hAnsi="Calibri"/>
        </w:rPr>
        <w:t xml:space="preserve"> - </w:t>
      </w:r>
      <w:r w:rsidR="00DB1C3B" w:rsidRPr="00DB1C3B">
        <w:rPr>
          <w:rFonts w:ascii="Calibri" w:hAnsi="Calibri"/>
        </w:rPr>
        <w:t>P177158</w:t>
      </w:r>
      <w:r w:rsidR="6CAC4703" w:rsidRPr="5F88BE35">
        <w:rPr>
          <w:rFonts w:ascii="Calibri" w:hAnsi="Calibri"/>
        </w:rPr>
        <w:t xml:space="preserve"> (</w:t>
      </w:r>
      <w:r w:rsidR="6CAC4703" w:rsidRPr="005D0063">
        <w:rPr>
          <w:rFonts w:ascii="Calibri" w:hAnsi="Calibri"/>
          <w:b/>
          <w:bCs/>
        </w:rPr>
        <w:t>the Project</w:t>
      </w:r>
      <w:r w:rsidR="29466547" w:rsidRPr="5F88BE35">
        <w:rPr>
          <w:rFonts w:ascii="Calibri" w:hAnsi="Calibri"/>
        </w:rPr>
        <w:t>)</w:t>
      </w:r>
      <w:r w:rsidR="6CAC4703" w:rsidRPr="5F88BE35">
        <w:rPr>
          <w:rFonts w:ascii="Calibri" w:hAnsi="Calibri"/>
        </w:rPr>
        <w:t xml:space="preserve">, with the involvement of the following </w:t>
      </w:r>
      <w:r w:rsidR="1D148203" w:rsidRPr="5F88BE35">
        <w:rPr>
          <w:rFonts w:ascii="Calibri" w:hAnsi="Calibri"/>
        </w:rPr>
        <w:t>Ministries</w:t>
      </w:r>
      <w:r w:rsidR="29466547" w:rsidRPr="5F88BE35">
        <w:rPr>
          <w:rFonts w:ascii="Calibri" w:hAnsi="Calibri"/>
        </w:rPr>
        <w:t xml:space="preserve">: </w:t>
      </w:r>
      <w:r w:rsidR="34ED11FC" w:rsidRPr="5F88BE35">
        <w:rPr>
          <w:rFonts w:ascii="Calibri" w:hAnsi="Calibri"/>
        </w:rPr>
        <w:t>Ministry of Finance</w:t>
      </w:r>
      <w:r w:rsidR="71F51EE8" w:rsidRPr="5F88BE35">
        <w:rPr>
          <w:rFonts w:ascii="Calibri" w:hAnsi="Calibri"/>
        </w:rPr>
        <w:t>, Trade and Blue Economy</w:t>
      </w:r>
      <w:r w:rsidR="5F4F89DF" w:rsidRPr="5F88BE35">
        <w:rPr>
          <w:rFonts w:ascii="Calibri" w:hAnsi="Calibri"/>
        </w:rPr>
        <w:t xml:space="preserve">and </w:t>
      </w:r>
      <w:r w:rsidR="5F4F89DF">
        <w:t>The Ministry of Infrastructure and Natural Resources</w:t>
      </w:r>
      <w:r w:rsidR="34ED11FC" w:rsidRPr="5F88BE35">
        <w:rPr>
          <w:rFonts w:ascii="Calibri" w:hAnsi="Calibri"/>
        </w:rPr>
        <w:t>, for which it has requested a Project Preparation Advance (</w:t>
      </w:r>
      <w:r w:rsidR="34ED11FC" w:rsidRPr="005D0063">
        <w:rPr>
          <w:rFonts w:ascii="Calibri" w:hAnsi="Calibri"/>
        </w:rPr>
        <w:t>PPA</w:t>
      </w:r>
      <w:r w:rsidR="34ED11FC" w:rsidRPr="5F88BE35">
        <w:rPr>
          <w:rFonts w:ascii="Calibri" w:hAnsi="Calibri"/>
        </w:rPr>
        <w:t>)</w:t>
      </w:r>
      <w:r w:rsidR="6CAC4703" w:rsidRPr="5F88BE35">
        <w:rPr>
          <w:rFonts w:ascii="Calibri" w:hAnsi="Calibri"/>
        </w:rPr>
        <w:t>.</w:t>
      </w:r>
      <w:r w:rsidR="00DB1C3B">
        <w:rPr>
          <w:rFonts w:ascii="Calibri" w:hAnsi="Calibri"/>
        </w:rPr>
        <w:t xml:space="preserve">The </w:t>
      </w:r>
      <w:r w:rsidR="00DB1C3B" w:rsidRPr="00DB1C3B">
        <w:rPr>
          <w:rFonts w:ascii="Calibri" w:hAnsi="Calibri"/>
        </w:rPr>
        <w:t>Fiduciary Agency for Project Administration</w:t>
      </w:r>
      <w:r w:rsidR="00DB1C3B">
        <w:rPr>
          <w:rFonts w:ascii="Calibri" w:hAnsi="Calibri"/>
        </w:rPr>
        <w:t xml:space="preserve"> (</w:t>
      </w:r>
      <w:r w:rsidR="7346DACB" w:rsidRPr="5F88BE35">
        <w:rPr>
          <w:rFonts w:ascii="Calibri" w:hAnsi="Calibri"/>
          <w:lang/>
        </w:rPr>
        <w:t>AFAP</w:t>
      </w:r>
      <w:r w:rsidR="00DB1C3B">
        <w:rPr>
          <w:rFonts w:ascii="Calibri" w:hAnsi="Calibri"/>
          <w:lang/>
        </w:rPr>
        <w:t>)</w:t>
      </w:r>
      <w:r w:rsidR="7346DACB" w:rsidRPr="5F88BE35">
        <w:rPr>
          <w:rFonts w:ascii="Calibri" w:hAnsi="Calibri"/>
          <w:lang/>
        </w:rPr>
        <w:t xml:space="preserve"> will be the agency </w:t>
      </w:r>
      <w:r w:rsidR="00DB1C3B">
        <w:rPr>
          <w:rFonts w:ascii="Calibri" w:hAnsi="Calibri"/>
          <w:lang/>
        </w:rPr>
        <w:t xml:space="preserve">within </w:t>
      </w:r>
      <w:r w:rsidR="7346DACB" w:rsidRPr="5F88BE35">
        <w:rPr>
          <w:rFonts w:ascii="Calibri" w:hAnsi="Calibri"/>
          <w:lang/>
        </w:rPr>
        <w:t xml:space="preserve">the Ministry of Finance and Blue Economy that </w:t>
      </w:r>
      <w:r w:rsidR="00DB1C3B">
        <w:rPr>
          <w:rFonts w:ascii="Calibri" w:hAnsi="Calibri"/>
          <w:lang/>
        </w:rPr>
        <w:t>shall</w:t>
      </w:r>
      <w:r w:rsidR="7346DACB" w:rsidRPr="5F88BE35">
        <w:rPr>
          <w:rFonts w:ascii="Calibri" w:hAnsi="Calibri"/>
          <w:lang/>
        </w:rPr>
        <w:t xml:space="preserve">carry out the fiduciary and </w:t>
      </w:r>
      <w:r w:rsidR="00DB1C3B">
        <w:rPr>
          <w:rFonts w:ascii="Calibri" w:hAnsi="Calibri"/>
          <w:lang/>
        </w:rPr>
        <w:t>environmental and social</w:t>
      </w:r>
      <w:r w:rsidR="7346DACB" w:rsidRPr="5F88BE35">
        <w:rPr>
          <w:rFonts w:ascii="Calibri" w:hAnsi="Calibri"/>
          <w:lang/>
        </w:rPr>
        <w:t xml:space="preserve">management </w:t>
      </w:r>
      <w:r w:rsidR="00DB1C3B">
        <w:rPr>
          <w:rFonts w:ascii="Calibri" w:hAnsi="Calibri"/>
          <w:lang/>
        </w:rPr>
        <w:t>for</w:t>
      </w:r>
      <w:r w:rsidR="7346DACB" w:rsidRPr="5F88BE35">
        <w:rPr>
          <w:rFonts w:ascii="Calibri" w:hAnsi="Calibri"/>
          <w:lang/>
        </w:rPr>
        <w:t xml:space="preserve"> this PPA. </w:t>
      </w:r>
      <w:r w:rsidR="2A017BB7" w:rsidRPr="5F88BE35">
        <w:rPr>
          <w:rFonts w:ascii="Calibri" w:hAnsi="Calibri"/>
        </w:rPr>
        <w:t xml:space="preserve">The </w:t>
      </w:r>
      <w:r w:rsidR="2A017BB7" w:rsidRPr="00052EDC">
        <w:rPr>
          <w:rFonts w:ascii="Calibri" w:hAnsi="Calibri"/>
        </w:rPr>
        <w:t>International Development Association</w:t>
      </w:r>
      <w:r w:rsidR="00DB1C3B" w:rsidRPr="00052EDC">
        <w:rPr>
          <w:rFonts w:ascii="Calibri" w:hAnsi="Calibri"/>
        </w:rPr>
        <w:t>(</w:t>
      </w:r>
      <w:r w:rsidR="7C2C8A06" w:rsidRPr="5F88BE35">
        <w:rPr>
          <w:rFonts w:ascii="Calibri" w:hAnsi="Calibri"/>
          <w:i/>
          <w:iCs/>
        </w:rPr>
        <w:t xml:space="preserve">hereinafter </w:t>
      </w:r>
      <w:r w:rsidR="7C2C8A06" w:rsidRPr="005D0063">
        <w:rPr>
          <w:rFonts w:ascii="Calibri" w:hAnsi="Calibri"/>
          <w:b/>
          <w:bCs/>
          <w:i/>
          <w:iCs/>
        </w:rPr>
        <w:t xml:space="preserve">the </w:t>
      </w:r>
      <w:r w:rsidR="00DB1C3B" w:rsidRPr="005D0063">
        <w:rPr>
          <w:rFonts w:ascii="Calibri" w:hAnsi="Calibri"/>
          <w:b/>
          <w:bCs/>
        </w:rPr>
        <w:t>Association</w:t>
      </w:r>
      <w:r w:rsidR="00DB1C3B">
        <w:rPr>
          <w:rFonts w:ascii="Calibri" w:hAnsi="Calibri"/>
        </w:rPr>
        <w:t>)</w:t>
      </w:r>
      <w:r w:rsidR="34ED11FC" w:rsidRPr="00052EDC">
        <w:rPr>
          <w:rFonts w:ascii="Calibri" w:hAnsi="Calibri"/>
        </w:rPr>
        <w:t>has agreed to pro</w:t>
      </w:r>
      <w:r w:rsidR="373341CA" w:rsidRPr="00052EDC">
        <w:rPr>
          <w:rFonts w:ascii="Calibri" w:hAnsi="Calibri"/>
        </w:rPr>
        <w:t>vid</w:t>
      </w:r>
      <w:r w:rsidR="34ED11FC" w:rsidRPr="00052EDC">
        <w:rPr>
          <w:rFonts w:ascii="Calibri" w:hAnsi="Calibri"/>
        </w:rPr>
        <w:t>e</w:t>
      </w:r>
      <w:r w:rsidR="4B4E792C" w:rsidRPr="5F88BE35">
        <w:rPr>
          <w:rFonts w:ascii="Calibri" w:hAnsi="Calibri"/>
        </w:rPr>
        <w:t>financing</w:t>
      </w:r>
      <w:r w:rsidR="1D148203" w:rsidRPr="5F88BE35">
        <w:rPr>
          <w:rFonts w:ascii="Calibri" w:hAnsi="Calibri"/>
        </w:rPr>
        <w:t>for the P</w:t>
      </w:r>
      <w:r w:rsidR="34ED11FC" w:rsidRPr="5F88BE35">
        <w:rPr>
          <w:rFonts w:ascii="Calibri" w:hAnsi="Calibri"/>
        </w:rPr>
        <w:t>PA</w:t>
      </w:r>
      <w:r w:rsidR="1D148203" w:rsidRPr="5F88BE35">
        <w:rPr>
          <w:rFonts w:ascii="Calibri" w:hAnsi="Calibri"/>
        </w:rPr>
        <w:t xml:space="preserve">. </w:t>
      </w:r>
    </w:p>
    <w:p w:rsidR="009772D5" w:rsidRPr="00DB1C3B" w:rsidRDefault="79920FEB" w:rsidP="00C62A89">
      <w:pPr>
        <w:pStyle w:val="PargrafodaLista"/>
        <w:numPr>
          <w:ilvl w:val="0"/>
          <w:numId w:val="17"/>
        </w:numPr>
        <w:rPr>
          <w:rStyle w:val="Refdecomentrio"/>
          <w:rFonts w:ascii="Calibri" w:hAnsi="Calibri"/>
          <w:sz w:val="22"/>
          <w:szCs w:val="22"/>
        </w:rPr>
      </w:pPr>
      <w:r w:rsidRPr="00DB1C3B">
        <w:rPr>
          <w:rFonts w:ascii="Calibri" w:hAnsi="Calibri"/>
        </w:rPr>
        <w:t xml:space="preserve">The Recipient </w:t>
      </w:r>
      <w:r w:rsidR="00DB1C3B">
        <w:rPr>
          <w:rFonts w:ascii="Calibri" w:hAnsi="Calibri"/>
        </w:rPr>
        <w:t>shall</w:t>
      </w:r>
      <w:r w:rsidR="6CAC4703" w:rsidRPr="00DB1C3B">
        <w:rPr>
          <w:rFonts w:ascii="Calibri" w:hAnsi="Calibri"/>
        </w:rPr>
        <w:t>implement</w:t>
      </w:r>
      <w:r w:rsidR="05DAAB0C" w:rsidRPr="00DB1C3B">
        <w:rPr>
          <w:rFonts w:ascii="Calibri" w:hAnsi="Calibri"/>
        </w:rPr>
        <w:t xml:space="preserve">material </w:t>
      </w:r>
      <w:r w:rsidR="1D148203" w:rsidRPr="00DB1C3B">
        <w:rPr>
          <w:rFonts w:ascii="Calibri" w:hAnsi="Calibri"/>
        </w:rPr>
        <w:t>measures and actions</w:t>
      </w:r>
      <w:r w:rsidR="00575FE8">
        <w:rPr>
          <w:rFonts w:ascii="Calibri" w:hAnsi="Calibri"/>
        </w:rPr>
        <w:t xml:space="preserve"> in this ESCP</w:t>
      </w:r>
      <w:r w:rsidR="1D148203" w:rsidRPr="00DB1C3B">
        <w:rPr>
          <w:rFonts w:ascii="Calibri" w:hAnsi="Calibri"/>
        </w:rPr>
        <w:t xml:space="preserve"> so </w:t>
      </w:r>
      <w:r w:rsidR="6CAC4703" w:rsidRPr="00DB1C3B">
        <w:rPr>
          <w:rFonts w:ascii="Calibri" w:hAnsi="Calibri"/>
        </w:rPr>
        <w:t>that the P</w:t>
      </w:r>
      <w:r w:rsidR="48D18A53" w:rsidRPr="00DB1C3B">
        <w:rPr>
          <w:rFonts w:ascii="Calibri" w:hAnsi="Calibri"/>
        </w:rPr>
        <w:t xml:space="preserve">PA </w:t>
      </w:r>
      <w:r w:rsidR="6CAC4703" w:rsidRPr="00DB1C3B">
        <w:rPr>
          <w:rFonts w:ascii="Calibri" w:hAnsi="Calibri"/>
        </w:rPr>
        <w:t xml:space="preserve">is </w:t>
      </w:r>
      <w:r w:rsidR="1D148203" w:rsidRPr="00DB1C3B">
        <w:rPr>
          <w:rFonts w:ascii="Calibri" w:hAnsi="Calibri"/>
        </w:rPr>
        <w:t xml:space="preserve">implemented in accordance with the </w:t>
      </w:r>
      <w:r w:rsidR="6CAC4703" w:rsidRPr="00DB1C3B">
        <w:rPr>
          <w:rFonts w:ascii="Calibri" w:hAnsi="Calibri"/>
        </w:rPr>
        <w:t xml:space="preserve">Environmental and Social </w:t>
      </w:r>
      <w:r w:rsidR="1D148203" w:rsidRPr="00DB1C3B">
        <w:rPr>
          <w:rFonts w:ascii="Calibri" w:hAnsi="Calibri"/>
        </w:rPr>
        <w:t xml:space="preserve">Standards </w:t>
      </w:r>
      <w:r w:rsidR="6CAC4703" w:rsidRPr="00DB1C3B">
        <w:rPr>
          <w:rFonts w:ascii="Calibri" w:hAnsi="Calibri"/>
        </w:rPr>
        <w:t>(</w:t>
      </w:r>
      <w:r w:rsidR="6CAC4703" w:rsidRPr="00DB1C3B">
        <w:rPr>
          <w:rFonts w:ascii="Calibri" w:hAnsi="Calibri"/>
          <w:b/>
          <w:bCs/>
        </w:rPr>
        <w:t>ESSs</w:t>
      </w:r>
      <w:r w:rsidR="6CAC4703" w:rsidRPr="00DB1C3B">
        <w:rPr>
          <w:rFonts w:ascii="Calibri" w:hAnsi="Calibri"/>
        </w:rPr>
        <w:t>)</w:t>
      </w:r>
      <w:r w:rsidR="25CC568A" w:rsidRPr="00DB1C3B">
        <w:rPr>
          <w:rFonts w:ascii="Calibri" w:hAnsi="Calibri"/>
        </w:rPr>
        <w:t>.</w:t>
      </w:r>
      <w:r w:rsidR="6CAC4703" w:rsidRPr="00DB1C3B">
        <w:rPr>
          <w:rFonts w:ascii="Calibri" w:hAnsi="Calibri"/>
        </w:rPr>
        <w:t>This Environmental and Social Commitment Plan (</w:t>
      </w:r>
      <w:r w:rsidR="6CAC4703" w:rsidRPr="00DB1C3B">
        <w:rPr>
          <w:rFonts w:ascii="Calibri" w:hAnsi="Calibri"/>
          <w:b/>
          <w:bCs/>
        </w:rPr>
        <w:t>ESCP</w:t>
      </w:r>
      <w:r w:rsidR="6CAC4703" w:rsidRPr="00DB1C3B">
        <w:rPr>
          <w:rFonts w:ascii="Calibri" w:hAnsi="Calibri"/>
        </w:rPr>
        <w:t>) sets out</w:t>
      </w:r>
      <w:r w:rsidR="5FE02688" w:rsidRPr="00DB1C3B">
        <w:rPr>
          <w:rFonts w:ascii="Calibri" w:hAnsi="Calibri"/>
        </w:rPr>
        <w:t xml:space="preserve">material </w:t>
      </w:r>
      <w:r w:rsidR="6CAC4703" w:rsidRPr="00DB1C3B">
        <w:rPr>
          <w:rFonts w:ascii="Calibri" w:hAnsi="Calibri"/>
        </w:rPr>
        <w:t>measures and actions</w:t>
      </w:r>
      <w:r w:rsidR="45B547A7" w:rsidRPr="00DB1C3B">
        <w:rPr>
          <w:rFonts w:ascii="Calibri" w:hAnsi="Calibri"/>
        </w:rPr>
        <w:t>, any</w:t>
      </w:r>
      <w:r w:rsidR="06AB2F74">
        <w:t xml:space="preserve">specific documents or </w:t>
      </w:r>
      <w:r w:rsidR="45B547A7" w:rsidRPr="00DB1C3B">
        <w:rPr>
          <w:rFonts w:ascii="Calibri" w:hAnsi="Calibri"/>
        </w:rPr>
        <w:t xml:space="preserve">plans, </w:t>
      </w:r>
      <w:r w:rsidR="00DB1C3B" w:rsidRPr="00DB1C3B">
        <w:rPr>
          <w:rFonts w:ascii="Calibri" w:hAnsi="Calibri"/>
        </w:rPr>
        <w:t>to be carried out or caused to be carried out by the Recipient, including the timeframes of the actions and measures, institutional, staffing, training, monitoring and reporting arrangements, grievance mechanism arrangements and the environmental and social instruments to be prepared or updated, consulted, disclosed or re-disclosed, adopted and implemented, all in a manner acceptable to the Association</w:t>
      </w:r>
      <w:r w:rsidR="00DB1C3B">
        <w:rPr>
          <w:rFonts w:ascii="Calibri" w:hAnsi="Calibri"/>
        </w:rPr>
        <w:t>.</w:t>
      </w:r>
      <w:r w:rsidRPr="00DB1C3B">
        <w:rPr>
          <w:rFonts w:ascii="Calibri" w:hAnsi="Calibri"/>
        </w:rPr>
        <w:t>The Recipient</w:t>
      </w:r>
      <w:r w:rsidR="00DB1C3B">
        <w:rPr>
          <w:rFonts w:ascii="Calibri" w:hAnsi="Calibri"/>
        </w:rPr>
        <w:t>shall</w:t>
      </w:r>
      <w:r w:rsidR="615C0ED6" w:rsidRPr="00DB1C3B">
        <w:rPr>
          <w:rFonts w:ascii="Calibri" w:hAnsi="Calibri"/>
        </w:rPr>
        <w:t xml:space="preserve">also comply with the provisions of any other E&amp;S documents required </w:t>
      </w:r>
      <w:r w:rsidR="68AC86EA" w:rsidRPr="00DB1C3B">
        <w:rPr>
          <w:rFonts w:ascii="Calibri" w:hAnsi="Calibri"/>
        </w:rPr>
        <w:t xml:space="preserve">under </w:t>
      </w:r>
      <w:r w:rsidR="615C0ED6" w:rsidRPr="00DB1C3B">
        <w:rPr>
          <w:rFonts w:ascii="Calibri" w:hAnsi="Calibri"/>
        </w:rPr>
        <w:t>the ESF and referred to in this ESCP, such as</w:t>
      </w:r>
      <w:r w:rsidR="00DB1C3B" w:rsidRPr="00DB1C3B">
        <w:rPr>
          <w:rFonts w:ascii="Calibri" w:hAnsi="Calibri"/>
        </w:rPr>
        <w:t xml:space="preserve"> Labor Management Procedures (LMP)</w:t>
      </w:r>
      <w:r w:rsidR="00DB1C3B">
        <w:rPr>
          <w:rFonts w:ascii="Calibri" w:hAnsi="Calibri"/>
        </w:rPr>
        <w:t xml:space="preserve"> and </w:t>
      </w:r>
      <w:r w:rsidR="25CC568A" w:rsidRPr="00DB1C3B">
        <w:rPr>
          <w:rFonts w:ascii="Calibri" w:hAnsi="Calibri"/>
        </w:rPr>
        <w:t>the</w:t>
      </w:r>
      <w:r w:rsidR="615C0ED6" w:rsidRPr="00DB1C3B">
        <w:rPr>
          <w:rFonts w:ascii="Calibri" w:hAnsi="Calibri"/>
        </w:rPr>
        <w:t xml:space="preserve"> Stakeholder Engagement Plans (SEP)</w:t>
      </w:r>
      <w:r w:rsidR="7540C48D" w:rsidRPr="00DB1C3B">
        <w:rPr>
          <w:rFonts w:ascii="Calibri" w:hAnsi="Calibri"/>
        </w:rPr>
        <w:t xml:space="preserve">, and </w:t>
      </w:r>
      <w:r w:rsidR="135DE335" w:rsidRPr="00DB1C3B">
        <w:rPr>
          <w:rFonts w:ascii="Calibri" w:hAnsi="Calibri"/>
        </w:rPr>
        <w:t>the</w:t>
      </w:r>
      <w:r w:rsidR="7540C48D" w:rsidRPr="00DB1C3B">
        <w:rPr>
          <w:rFonts w:ascii="Calibri" w:hAnsi="Calibri"/>
        </w:rPr>
        <w:t xml:space="preserve"> timelines</w:t>
      </w:r>
      <w:r w:rsidR="08CD2F25" w:rsidRPr="00DB1C3B">
        <w:rPr>
          <w:rFonts w:ascii="Calibri" w:hAnsi="Calibri"/>
        </w:rPr>
        <w:t xml:space="preserve"> specified in those </w:t>
      </w:r>
      <w:r w:rsidR="505DCF9E" w:rsidRPr="00DB1C3B">
        <w:rPr>
          <w:rFonts w:ascii="Calibri" w:hAnsi="Calibri"/>
        </w:rPr>
        <w:t xml:space="preserve">E&amp;S </w:t>
      </w:r>
      <w:r w:rsidR="08CD2F25" w:rsidRPr="00DB1C3B">
        <w:rPr>
          <w:rFonts w:ascii="Calibri" w:hAnsi="Calibri"/>
        </w:rPr>
        <w:t>documents</w:t>
      </w:r>
      <w:r w:rsidR="615C0ED6" w:rsidRPr="00DB1C3B">
        <w:rPr>
          <w:rFonts w:ascii="Calibri" w:hAnsi="Calibri"/>
        </w:rPr>
        <w:t>.</w:t>
      </w:r>
    </w:p>
    <w:p w:rsidR="004E7CEA" w:rsidRPr="00D14D9F" w:rsidRDefault="79920FEB" w:rsidP="009772D5">
      <w:pPr>
        <w:pStyle w:val="PargrafodaLista"/>
        <w:numPr>
          <w:ilvl w:val="0"/>
          <w:numId w:val="17"/>
        </w:numPr>
        <w:rPr>
          <w:rFonts w:ascii="Calibri" w:hAnsi="Calibri"/>
        </w:rPr>
      </w:pPr>
      <w:r w:rsidRPr="5F88BE35">
        <w:rPr>
          <w:rFonts w:ascii="Calibri" w:hAnsi="Calibri"/>
        </w:rPr>
        <w:t xml:space="preserve">The Recipient </w:t>
      </w:r>
      <w:r w:rsidR="418B6572" w:rsidRPr="5F88BE35">
        <w:rPr>
          <w:rFonts w:ascii="Calibri" w:hAnsi="Calibri"/>
        </w:rPr>
        <w:t xml:space="preserve">is responsible for compliance with </w:t>
      </w:r>
      <w:r w:rsidR="6F4E3B4D" w:rsidRPr="5F88BE35">
        <w:rPr>
          <w:rFonts w:ascii="Calibri" w:hAnsi="Calibri"/>
        </w:rPr>
        <w:t xml:space="preserve">all requirements of </w:t>
      </w:r>
      <w:r w:rsidR="418B6572" w:rsidRPr="5F88BE35">
        <w:rPr>
          <w:rFonts w:ascii="Calibri" w:hAnsi="Calibri"/>
        </w:rPr>
        <w:t xml:space="preserve">the ESCP even when implementation of specific measures and actions is conducted by the </w:t>
      </w:r>
      <w:r w:rsidR="62FFEE85" w:rsidRPr="5F88BE35">
        <w:rPr>
          <w:rFonts w:ascii="Calibri" w:hAnsi="Calibri"/>
        </w:rPr>
        <w:t>Ministr</w:t>
      </w:r>
      <w:r w:rsidR="4EC84278" w:rsidRPr="5F88BE35">
        <w:rPr>
          <w:rFonts w:ascii="Calibri" w:hAnsi="Calibri"/>
        </w:rPr>
        <w:t>ies ref</w:t>
      </w:r>
      <w:r w:rsidR="418B6572" w:rsidRPr="5F88BE35">
        <w:rPr>
          <w:rFonts w:ascii="Calibri" w:hAnsi="Calibri"/>
        </w:rPr>
        <w:t xml:space="preserve">erenced in </w:t>
      </w:r>
      <w:r w:rsidR="3D9DE971" w:rsidRPr="5F88BE35">
        <w:rPr>
          <w:rFonts w:ascii="Calibri" w:hAnsi="Calibri"/>
        </w:rPr>
        <w:t>1</w:t>
      </w:r>
      <w:r w:rsidR="418B6572" w:rsidRPr="5F88BE35">
        <w:rPr>
          <w:rFonts w:ascii="Calibri" w:hAnsi="Calibri"/>
        </w:rPr>
        <w:t>. above</w:t>
      </w:r>
      <w:r w:rsidR="6893AB96" w:rsidRPr="5F88BE35">
        <w:rPr>
          <w:rFonts w:ascii="Calibri" w:hAnsi="Calibri"/>
        </w:rPr>
        <w:t>.</w:t>
      </w:r>
    </w:p>
    <w:p w:rsidR="00747414" w:rsidRPr="009575BF" w:rsidRDefault="62FFEE85" w:rsidP="00747414">
      <w:pPr>
        <w:pStyle w:val="PargrafodaLista"/>
        <w:numPr>
          <w:ilvl w:val="0"/>
          <w:numId w:val="17"/>
        </w:numPr>
        <w:rPr>
          <w:rFonts w:ascii="Calibri" w:hAnsi="Calibri"/>
        </w:rPr>
      </w:pPr>
      <w:r w:rsidRPr="5F88BE35">
        <w:rPr>
          <w:rFonts w:ascii="Calibri" w:hAnsi="Calibri"/>
        </w:rPr>
        <w:t xml:space="preserve">Implementation </w:t>
      </w:r>
      <w:r w:rsidR="6CAC4703" w:rsidRPr="5F88BE35">
        <w:rPr>
          <w:rFonts w:ascii="Calibri" w:hAnsi="Calibri"/>
        </w:rPr>
        <w:t xml:space="preserve">of the </w:t>
      </w:r>
      <w:r w:rsidR="5FE02688" w:rsidRPr="5F88BE35">
        <w:rPr>
          <w:rFonts w:ascii="Calibri" w:hAnsi="Calibri"/>
        </w:rPr>
        <w:t xml:space="preserve">material </w:t>
      </w:r>
      <w:r w:rsidR="6CAC4703" w:rsidRPr="5F88BE35">
        <w:rPr>
          <w:rFonts w:ascii="Calibri" w:hAnsi="Calibri"/>
        </w:rPr>
        <w:t xml:space="preserve">measures and </w:t>
      </w:r>
      <w:r w:rsidRPr="5F88BE35">
        <w:rPr>
          <w:rFonts w:ascii="Calibri" w:hAnsi="Calibri"/>
        </w:rPr>
        <w:t xml:space="preserve">actions set out </w:t>
      </w:r>
      <w:r w:rsidR="6CAC4703" w:rsidRPr="5F88BE35">
        <w:rPr>
          <w:rFonts w:ascii="Calibri" w:hAnsi="Calibri"/>
        </w:rPr>
        <w:t xml:space="preserve">in this ESCP </w:t>
      </w:r>
      <w:r w:rsidR="00DB1C3B">
        <w:rPr>
          <w:rFonts w:ascii="Calibri" w:hAnsi="Calibri"/>
        </w:rPr>
        <w:t>shall</w:t>
      </w:r>
      <w:r w:rsidR="6CAC4703" w:rsidRPr="5F88BE35">
        <w:rPr>
          <w:rFonts w:ascii="Calibri" w:hAnsi="Calibri"/>
        </w:rPr>
        <w:t xml:space="preserve">be </w:t>
      </w:r>
      <w:r w:rsidRPr="5F88BE35">
        <w:rPr>
          <w:rFonts w:ascii="Calibri" w:hAnsi="Calibri"/>
        </w:rPr>
        <w:t xml:space="preserve">monitored and </w:t>
      </w:r>
      <w:r w:rsidR="6CAC4703" w:rsidRPr="5F88BE35">
        <w:rPr>
          <w:rFonts w:ascii="Calibri" w:hAnsi="Calibri"/>
        </w:rPr>
        <w:t xml:space="preserve">reported to the </w:t>
      </w:r>
      <w:r w:rsidR="00DB1C3B">
        <w:rPr>
          <w:rFonts w:ascii="Calibri" w:hAnsi="Calibri"/>
        </w:rPr>
        <w:t>Association</w:t>
      </w:r>
      <w:r w:rsidR="6CAC4703" w:rsidRPr="5F88BE35">
        <w:rPr>
          <w:rFonts w:ascii="Calibri" w:hAnsi="Calibri"/>
        </w:rPr>
        <w:t xml:space="preserve">by </w:t>
      </w:r>
      <w:r w:rsidR="00DB1C3B">
        <w:rPr>
          <w:rFonts w:ascii="Calibri" w:hAnsi="Calibri"/>
        </w:rPr>
        <w:t xml:space="preserve">the Recipient </w:t>
      </w:r>
      <w:r w:rsidR="6CAC4703" w:rsidRPr="5F88BE35">
        <w:rPr>
          <w:rFonts w:ascii="Calibri" w:hAnsi="Calibri"/>
        </w:rPr>
        <w:t xml:space="preserve">as required by the ESCP and the conditions of the legal agreement, and </w:t>
      </w:r>
      <w:r w:rsidR="5FE02688" w:rsidRPr="5F88BE35">
        <w:rPr>
          <w:rFonts w:ascii="Calibri" w:hAnsi="Calibri"/>
        </w:rPr>
        <w:t xml:space="preserve">the </w:t>
      </w:r>
      <w:r w:rsidR="00DB1C3B">
        <w:rPr>
          <w:rFonts w:ascii="Calibri" w:hAnsi="Calibri"/>
        </w:rPr>
        <w:t>Association</w:t>
      </w:r>
      <w:r w:rsidR="5FE02688" w:rsidRPr="5F88BE35">
        <w:rPr>
          <w:rFonts w:ascii="Calibri" w:hAnsi="Calibri"/>
        </w:rPr>
        <w:t xml:space="preserve"> will monitor and assess progress and completion of the </w:t>
      </w:r>
      <w:r w:rsidR="30B4730F" w:rsidRPr="5F88BE35">
        <w:rPr>
          <w:rFonts w:ascii="Calibri" w:hAnsi="Calibri"/>
        </w:rPr>
        <w:t xml:space="preserve">material </w:t>
      </w:r>
      <w:r w:rsidR="5FE02688" w:rsidRPr="5F88BE35">
        <w:rPr>
          <w:rFonts w:ascii="Calibri" w:hAnsi="Calibri"/>
        </w:rPr>
        <w:t xml:space="preserve">measures and actions </w:t>
      </w:r>
      <w:r w:rsidR="6CAC4703" w:rsidRPr="5F88BE35">
        <w:rPr>
          <w:rFonts w:ascii="Calibri" w:hAnsi="Calibri"/>
        </w:rPr>
        <w:t>throughout implementation of the P</w:t>
      </w:r>
      <w:r w:rsidR="4EC84278" w:rsidRPr="5F88BE35">
        <w:rPr>
          <w:rFonts w:ascii="Calibri" w:hAnsi="Calibri"/>
        </w:rPr>
        <w:t>PA</w:t>
      </w:r>
      <w:r w:rsidR="6CAC4703" w:rsidRPr="5F88BE35">
        <w:rPr>
          <w:rFonts w:ascii="Calibri" w:hAnsi="Calibri"/>
        </w:rPr>
        <w:t xml:space="preserve">. </w:t>
      </w:r>
    </w:p>
    <w:p w:rsidR="00F61F64" w:rsidRPr="00F52079" w:rsidRDefault="60F14119" w:rsidP="00F8178A">
      <w:pPr>
        <w:pStyle w:val="PargrafodaLista"/>
        <w:numPr>
          <w:ilvl w:val="0"/>
          <w:numId w:val="17"/>
        </w:numPr>
        <w:rPr>
          <w:rFonts w:ascii="Calibri" w:hAnsi="Calibri"/>
        </w:rPr>
      </w:pPr>
      <w:r w:rsidRPr="5F88BE35">
        <w:rPr>
          <w:rFonts w:ascii="Calibri" w:hAnsi="Calibri"/>
        </w:rPr>
        <w:t xml:space="preserve">As agreed by the </w:t>
      </w:r>
      <w:r w:rsidR="00DB1C3B">
        <w:rPr>
          <w:rFonts w:ascii="Calibri" w:hAnsi="Calibri"/>
        </w:rPr>
        <w:t>Association</w:t>
      </w:r>
      <w:r w:rsidRPr="5F88BE35">
        <w:rPr>
          <w:rFonts w:ascii="Calibri" w:hAnsi="Calibri"/>
        </w:rPr>
        <w:t xml:space="preserve"> and </w:t>
      </w:r>
      <w:r w:rsidR="00DB1C3B">
        <w:rPr>
          <w:rFonts w:ascii="Calibri" w:hAnsi="Calibri"/>
        </w:rPr>
        <w:t>Recipient</w:t>
      </w:r>
      <w:r w:rsidRPr="5F88BE35">
        <w:rPr>
          <w:rFonts w:ascii="Calibri" w:hAnsi="Calibri"/>
        </w:rPr>
        <w:t xml:space="preserve">, this ESCP may be revised from time to time during </w:t>
      </w:r>
      <w:r w:rsidR="5E3D4EFC" w:rsidRPr="5F88BE35">
        <w:rPr>
          <w:rFonts w:ascii="Calibri" w:hAnsi="Calibri"/>
        </w:rPr>
        <w:t>P</w:t>
      </w:r>
      <w:r w:rsidR="1A1AF4A0" w:rsidRPr="5F88BE35">
        <w:rPr>
          <w:rFonts w:ascii="Calibri" w:hAnsi="Calibri"/>
        </w:rPr>
        <w:t xml:space="preserve">PA </w:t>
      </w:r>
      <w:r w:rsidRPr="5F88BE35">
        <w:rPr>
          <w:rFonts w:ascii="Calibri" w:hAnsi="Calibri"/>
        </w:rPr>
        <w:t xml:space="preserve">implementation, </w:t>
      </w:r>
      <w:r w:rsidR="62FFEE85" w:rsidRPr="5F88BE35">
        <w:rPr>
          <w:rFonts w:ascii="Calibri" w:hAnsi="Calibri"/>
        </w:rPr>
        <w:t xml:space="preserve">to reflect adaptive </w:t>
      </w:r>
      <w:r w:rsidR="48C5721A" w:rsidRPr="5F88BE35">
        <w:rPr>
          <w:rFonts w:ascii="Calibri" w:hAnsi="Calibri"/>
        </w:rPr>
        <w:t xml:space="preserve">management of </w:t>
      </w:r>
      <w:r w:rsidR="4EC84278" w:rsidRPr="5F88BE35">
        <w:rPr>
          <w:rFonts w:ascii="Calibri" w:hAnsi="Calibri"/>
        </w:rPr>
        <w:t xml:space="preserve">the </w:t>
      </w:r>
      <w:r w:rsidR="7503AEBA" w:rsidRPr="5F88BE35">
        <w:rPr>
          <w:rFonts w:ascii="Calibri" w:hAnsi="Calibri"/>
        </w:rPr>
        <w:t>P</w:t>
      </w:r>
      <w:r w:rsidR="19460B92" w:rsidRPr="5F88BE35">
        <w:rPr>
          <w:rFonts w:ascii="Calibri" w:hAnsi="Calibri"/>
        </w:rPr>
        <w:t>PA</w:t>
      </w:r>
      <w:r w:rsidR="78307C09" w:rsidRPr="5F88BE35">
        <w:rPr>
          <w:rFonts w:ascii="Calibri" w:hAnsi="Calibri"/>
        </w:rPr>
        <w:t xml:space="preserve"> and unforeseen circumstances or in response to </w:t>
      </w:r>
      <w:r w:rsidR="33F833AD" w:rsidRPr="5F88BE35">
        <w:rPr>
          <w:rFonts w:ascii="Calibri" w:hAnsi="Calibri"/>
        </w:rPr>
        <w:t xml:space="preserve">assessment </w:t>
      </w:r>
      <w:r w:rsidR="48C5721A" w:rsidRPr="5F88BE35">
        <w:rPr>
          <w:rFonts w:ascii="Calibri" w:hAnsi="Calibri"/>
        </w:rPr>
        <w:t xml:space="preserve">of </w:t>
      </w:r>
      <w:r w:rsidR="4EC84278" w:rsidRPr="5F88BE35">
        <w:rPr>
          <w:rFonts w:ascii="Calibri" w:hAnsi="Calibri"/>
        </w:rPr>
        <w:t>P</w:t>
      </w:r>
      <w:r w:rsidR="7503AEBA" w:rsidRPr="5F88BE35">
        <w:rPr>
          <w:rFonts w:ascii="Calibri" w:hAnsi="Calibri"/>
        </w:rPr>
        <w:t>roject preparation and</w:t>
      </w:r>
      <w:r w:rsidR="78307C09" w:rsidRPr="5F88BE35">
        <w:rPr>
          <w:rFonts w:ascii="Calibri" w:hAnsi="Calibri"/>
        </w:rPr>
        <w:t xml:space="preserve">performance </w:t>
      </w:r>
      <w:r w:rsidRPr="5F88BE35">
        <w:rPr>
          <w:rFonts w:ascii="Calibri" w:hAnsi="Calibri"/>
        </w:rPr>
        <w:t>conducted under the ESCP itself.</w:t>
      </w:r>
      <w:r w:rsidR="562E9434" w:rsidRPr="5F88BE35">
        <w:rPr>
          <w:rFonts w:ascii="Calibri" w:hAnsi="Calibri"/>
        </w:rPr>
        <w:t xml:space="preserve"> In such circumstances, </w:t>
      </w:r>
      <w:r w:rsidR="00DB1C3B">
        <w:rPr>
          <w:rFonts w:ascii="Calibri" w:hAnsi="Calibri"/>
        </w:rPr>
        <w:t xml:space="preserve">the Recipient through </w:t>
      </w:r>
      <w:r w:rsidR="5CA0DCE4" w:rsidRPr="5F88BE35">
        <w:rPr>
          <w:rFonts w:ascii="Calibri" w:hAnsi="Calibri"/>
        </w:rPr>
        <w:t xml:space="preserve">AFAP </w:t>
      </w:r>
      <w:r w:rsidR="785BB34E" w:rsidRPr="5F88BE35">
        <w:rPr>
          <w:rFonts w:ascii="Calibri" w:hAnsi="Calibri"/>
        </w:rPr>
        <w:t>will agree</w:t>
      </w:r>
      <w:r w:rsidR="29CAEA52" w:rsidRPr="5F88BE35">
        <w:rPr>
          <w:rFonts w:ascii="Calibri" w:hAnsi="Calibri"/>
        </w:rPr>
        <w:t xml:space="preserve">to the </w:t>
      </w:r>
      <w:r w:rsidR="03E1F965" w:rsidRPr="5F88BE35">
        <w:rPr>
          <w:rFonts w:ascii="Calibri" w:hAnsi="Calibri"/>
        </w:rPr>
        <w:t xml:space="preserve">changes with the </w:t>
      </w:r>
      <w:r w:rsidR="00DB1C3B">
        <w:rPr>
          <w:rFonts w:ascii="Calibri" w:hAnsi="Calibri"/>
        </w:rPr>
        <w:t>Association</w:t>
      </w:r>
      <w:r w:rsidR="785BB34E" w:rsidRPr="5F88BE35">
        <w:rPr>
          <w:rFonts w:ascii="Calibri" w:hAnsi="Calibri"/>
        </w:rPr>
        <w:t xml:space="preserve"> and will</w:t>
      </w:r>
      <w:r w:rsidR="78307C09" w:rsidRPr="5F88BE35">
        <w:rPr>
          <w:rFonts w:ascii="Calibri" w:hAnsi="Calibri"/>
        </w:rPr>
        <w:t xml:space="preserve"> update the ESCP to reflect such changes.</w:t>
      </w:r>
      <w:r w:rsidR="03E1F965" w:rsidRPr="5F88BE35">
        <w:rPr>
          <w:rFonts w:ascii="Calibri" w:hAnsi="Calibri"/>
        </w:rPr>
        <w:t xml:space="preserve">Agreement on changes to </w:t>
      </w:r>
      <w:r w:rsidR="43716228" w:rsidRPr="5F88BE35">
        <w:rPr>
          <w:rFonts w:ascii="Calibri" w:hAnsi="Calibri"/>
        </w:rPr>
        <w:t xml:space="preserve">the ESCP will be documented through the exchange of letters signed between the </w:t>
      </w:r>
      <w:r w:rsidR="00DB1C3B">
        <w:rPr>
          <w:rFonts w:ascii="Calibri" w:hAnsi="Calibri"/>
        </w:rPr>
        <w:t>Association</w:t>
      </w:r>
      <w:r w:rsidR="43716228" w:rsidRPr="5F88BE35">
        <w:rPr>
          <w:rFonts w:ascii="Calibri" w:hAnsi="Calibri"/>
        </w:rPr>
        <w:t xml:space="preserve"> and the </w:t>
      </w:r>
      <w:r w:rsidR="00DB1C3B">
        <w:rPr>
          <w:rFonts w:ascii="Calibri" w:hAnsi="Calibri"/>
        </w:rPr>
        <w:t>Recipient</w:t>
      </w:r>
      <w:r w:rsidR="43716228" w:rsidRPr="5F88BE35">
        <w:rPr>
          <w:rFonts w:ascii="Calibri" w:hAnsi="Calibri"/>
        </w:rPr>
        <w:t xml:space="preserve">. </w:t>
      </w:r>
      <w:r w:rsidR="73DB835E" w:rsidRPr="5F88BE35">
        <w:rPr>
          <w:rFonts w:ascii="Calibri" w:hAnsi="Calibri"/>
        </w:rPr>
        <w:t xml:space="preserve">The </w:t>
      </w:r>
      <w:r w:rsidR="00DB1C3B">
        <w:rPr>
          <w:rFonts w:ascii="Calibri" w:hAnsi="Calibri"/>
        </w:rPr>
        <w:t>Recipientshall</w:t>
      </w:r>
      <w:r w:rsidR="73DB835E" w:rsidRPr="5F88BE35">
        <w:rPr>
          <w:rFonts w:ascii="Calibri" w:hAnsi="Calibri"/>
        </w:rPr>
        <w:t>prom</w:t>
      </w:r>
      <w:r w:rsidR="765F064A" w:rsidRPr="5F88BE35">
        <w:rPr>
          <w:rFonts w:ascii="Calibri" w:hAnsi="Calibri"/>
        </w:rPr>
        <w:t>ptly disclose</w:t>
      </w:r>
      <w:r w:rsidR="73DB835E" w:rsidRPr="5F88BE35">
        <w:rPr>
          <w:rFonts w:ascii="Calibri" w:hAnsi="Calibri"/>
        </w:rPr>
        <w:t xml:space="preserve"> the updated ESCP.</w:t>
      </w:r>
    </w:p>
    <w:p w:rsidR="00DB1C3B" w:rsidRPr="00DB1C3B" w:rsidRDefault="43716228" w:rsidP="00DB1C3B">
      <w:pPr>
        <w:pStyle w:val="PargrafodaLista"/>
        <w:numPr>
          <w:ilvl w:val="0"/>
          <w:numId w:val="17"/>
        </w:numPr>
        <w:rPr>
          <w:rFonts w:ascii="Calibri" w:hAnsi="Calibri"/>
        </w:rPr>
      </w:pPr>
      <w:r w:rsidRPr="00DB1C3B">
        <w:rPr>
          <w:rFonts w:ascii="Calibri" w:hAnsi="Calibri"/>
        </w:rPr>
        <w:t>Where</w:t>
      </w:r>
      <w:r w:rsidR="4EC84278" w:rsidRPr="00DB1C3B">
        <w:rPr>
          <w:rFonts w:ascii="Calibri" w:hAnsi="Calibri"/>
        </w:rPr>
        <w:t xml:space="preserve">PPA </w:t>
      </w:r>
      <w:r w:rsidR="4EB16F27" w:rsidRPr="00DB1C3B">
        <w:rPr>
          <w:rFonts w:ascii="Calibri" w:hAnsi="Calibri"/>
        </w:rPr>
        <w:t>changes, unforeseen circumstances</w:t>
      </w:r>
      <w:r w:rsidR="6EE81BEF" w:rsidRPr="00DB1C3B">
        <w:rPr>
          <w:rFonts w:ascii="Calibri" w:hAnsi="Calibri"/>
        </w:rPr>
        <w:t>,</w:t>
      </w:r>
      <w:r w:rsidR="4EB16F27" w:rsidRPr="00DB1C3B">
        <w:rPr>
          <w:rFonts w:ascii="Calibri" w:hAnsi="Calibri"/>
        </w:rPr>
        <w:t xml:space="preserve"> or </w:t>
      </w:r>
      <w:r w:rsidR="4EC84278" w:rsidRPr="00DB1C3B">
        <w:rPr>
          <w:rFonts w:ascii="Calibri" w:hAnsi="Calibri"/>
        </w:rPr>
        <w:t xml:space="preserve">PPA </w:t>
      </w:r>
      <w:r w:rsidR="4EB16F27" w:rsidRPr="00DB1C3B">
        <w:rPr>
          <w:rFonts w:ascii="Calibri" w:hAnsi="Calibri"/>
        </w:rPr>
        <w:t xml:space="preserve">performance </w:t>
      </w:r>
      <w:r w:rsidR="717DFA22" w:rsidRPr="00DB1C3B">
        <w:rPr>
          <w:rFonts w:ascii="Calibri" w:hAnsi="Calibri"/>
        </w:rPr>
        <w:t xml:space="preserve">result in changes to </w:t>
      </w:r>
      <w:r w:rsidR="30B4730F" w:rsidRPr="00DB1C3B">
        <w:rPr>
          <w:rFonts w:ascii="Calibri" w:hAnsi="Calibri"/>
        </w:rPr>
        <w:t xml:space="preserve">the </w:t>
      </w:r>
      <w:r w:rsidRPr="00DB1C3B">
        <w:rPr>
          <w:rFonts w:ascii="Calibri" w:hAnsi="Calibri"/>
        </w:rPr>
        <w:t>risks and impacts during P</w:t>
      </w:r>
      <w:r w:rsidR="4EC84278" w:rsidRPr="00DB1C3B">
        <w:rPr>
          <w:rFonts w:ascii="Calibri" w:hAnsi="Calibri"/>
        </w:rPr>
        <w:t xml:space="preserve">PA </w:t>
      </w:r>
      <w:r w:rsidRPr="00DB1C3B">
        <w:rPr>
          <w:rFonts w:ascii="Calibri" w:hAnsi="Calibri"/>
        </w:rPr>
        <w:t xml:space="preserve">implementation, </w:t>
      </w:r>
      <w:r w:rsidR="6601178F" w:rsidRPr="00DB1C3B">
        <w:rPr>
          <w:rFonts w:ascii="Calibri" w:hAnsi="Calibri"/>
        </w:rPr>
        <w:t xml:space="preserve">The </w:t>
      </w:r>
      <w:r w:rsidR="00DB1C3B" w:rsidRPr="00DB1C3B">
        <w:rPr>
          <w:rFonts w:ascii="Calibri" w:hAnsi="Calibri"/>
        </w:rPr>
        <w:t>Recipient</w:t>
      </w:r>
      <w:r w:rsidRPr="00DB1C3B">
        <w:rPr>
          <w:rFonts w:ascii="Calibri" w:hAnsi="Calibri"/>
        </w:rPr>
        <w:t>shall provide</w:t>
      </w:r>
      <w:r w:rsidRPr="00DB1C3B">
        <w:rPr>
          <w:rFonts w:cstheme="minorBidi"/>
        </w:rPr>
        <w:t xml:space="preserve"> additional funds</w:t>
      </w:r>
      <w:r w:rsidR="4EB16F27" w:rsidRPr="00DB1C3B">
        <w:rPr>
          <w:rFonts w:cstheme="minorBidi"/>
        </w:rPr>
        <w:t>, if needed,</w:t>
      </w:r>
      <w:r w:rsidRPr="00DB1C3B">
        <w:rPr>
          <w:rFonts w:cstheme="minorBidi"/>
        </w:rPr>
        <w:t xml:space="preserve"> to implement actions and measures to address such risks and impacts, which may include</w:t>
      </w:r>
      <w:r w:rsidR="00DB1C3B">
        <w:rPr>
          <w:rFonts w:cstheme="minorBidi"/>
        </w:rPr>
        <w:t xml:space="preserve">, </w:t>
      </w:r>
      <w:r w:rsidR="00DB1C3B" w:rsidRPr="00DB1C3B">
        <w:rPr>
          <w:rFonts w:cstheme="minorHAnsi"/>
        </w:rPr>
        <w:t xml:space="preserve">among others, occupational </w:t>
      </w:r>
      <w:r w:rsidR="00DB1C3B" w:rsidRPr="00DB1C3B">
        <w:rPr>
          <w:rFonts w:cstheme="minorHAnsi"/>
          <w:iCs/>
        </w:rPr>
        <w:t>health and safety impacts</w:t>
      </w:r>
      <w:r w:rsidR="00DB1C3B" w:rsidRPr="00DB1C3B">
        <w:rPr>
          <w:rFonts w:cstheme="minorHAnsi"/>
        </w:rPr>
        <w:t xml:space="preserve"> (transmission of communicable diseases e.g. COVID-19), gender-based violence (GBV), including sexual exploitation and abuse/sexual harassment (SEA/SH), and poor coordination among sector stakeholders.</w:t>
      </w:r>
    </w:p>
    <w:p w:rsidR="00C35CAD" w:rsidRPr="00C35CAD" w:rsidRDefault="00C35CAD" w:rsidP="00860672">
      <w:pPr>
        <w:pStyle w:val="PargrafodaLista"/>
        <w:ind w:left="720" w:firstLine="0"/>
        <w:sectPr w:rsidR="00C35CAD"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elacomgrelha"/>
        <w:tblW w:w="0" w:type="auto"/>
        <w:tblLayout w:type="fixed"/>
        <w:tblCellMar>
          <w:left w:w="115" w:type="dxa"/>
          <w:right w:w="115" w:type="dxa"/>
        </w:tblCellMar>
        <w:tblLook w:val="04A0"/>
      </w:tblPr>
      <w:tblGrid>
        <w:gridCol w:w="585"/>
        <w:gridCol w:w="7960"/>
        <w:gridCol w:w="3960"/>
        <w:gridCol w:w="1530"/>
      </w:tblGrid>
      <w:tr w:rsidR="00860672" w:rsidRPr="00FA0A88" w:rsidTr="00147CE5">
        <w:trPr>
          <w:cantSplit/>
          <w:trHeight w:val="20"/>
          <w:tblHeader/>
        </w:trPr>
        <w:tc>
          <w:tcPr>
            <w:tcW w:w="8545" w:type="dxa"/>
            <w:gridSpan w:val="2"/>
            <w:tcBorders>
              <w:top w:val="single" w:sz="4" w:space="0" w:color="000000" w:themeColor="text1"/>
            </w:tcBorders>
            <w:shd w:val="clear" w:color="auto" w:fill="C5E0B3" w:themeFill="accent6" w:themeFillTint="66"/>
            <w:vAlign w:val="center"/>
          </w:tcPr>
          <w:p w:rsidR="004D3232" w:rsidRPr="00FA0A88" w:rsidRDefault="004D3232" w:rsidP="00862718">
            <w:pPr>
              <w:keepLines/>
              <w:widowControl w:val="0"/>
              <w:jc w:val="center"/>
              <w:rPr>
                <w:rFonts w:cstheme="minorHAnsi"/>
                <w:b/>
                <w:sz w:val="20"/>
                <w:szCs w:val="20"/>
              </w:rPr>
            </w:pPr>
            <w:r w:rsidRPr="00FA0A88">
              <w:rPr>
                <w:rFonts w:cstheme="minorHAnsi"/>
                <w:b/>
                <w:sz w:val="20"/>
                <w:szCs w:val="20"/>
              </w:rPr>
              <w:lastRenderedPageBreak/>
              <w:t>MATERIAL MEASURES AND ACTIONS</w:t>
            </w:r>
          </w:p>
        </w:tc>
        <w:tc>
          <w:tcPr>
            <w:tcW w:w="3960" w:type="dxa"/>
            <w:tcBorders>
              <w:top w:val="single" w:sz="4" w:space="0" w:color="000000" w:themeColor="text1"/>
            </w:tcBorders>
            <w:shd w:val="clear" w:color="auto" w:fill="C5E0B3" w:themeFill="accent6" w:themeFillTint="66"/>
            <w:vAlign w:val="center"/>
          </w:tcPr>
          <w:p w:rsidR="004D3232" w:rsidRPr="00FA0A88" w:rsidRDefault="004D3232" w:rsidP="00862718">
            <w:pPr>
              <w:keepLines/>
              <w:widowControl w:val="0"/>
              <w:jc w:val="center"/>
              <w:rPr>
                <w:rFonts w:cstheme="minorHAnsi"/>
                <w:b/>
                <w:sz w:val="20"/>
                <w:szCs w:val="20"/>
              </w:rPr>
            </w:pPr>
            <w:r w:rsidRPr="00FA0A88">
              <w:rPr>
                <w:rFonts w:cstheme="minorHAnsi"/>
                <w:b/>
                <w:sz w:val="20"/>
                <w:szCs w:val="20"/>
              </w:rPr>
              <w:t>TIMEFRAME</w:t>
            </w:r>
          </w:p>
        </w:tc>
        <w:tc>
          <w:tcPr>
            <w:tcW w:w="1530" w:type="dxa"/>
            <w:tcBorders>
              <w:top w:val="single" w:sz="4" w:space="0" w:color="000000" w:themeColor="text1"/>
            </w:tcBorders>
            <w:shd w:val="clear" w:color="auto" w:fill="C5E0B3" w:themeFill="accent6" w:themeFillTint="66"/>
            <w:vAlign w:val="center"/>
          </w:tcPr>
          <w:p w:rsidR="004D3232" w:rsidRPr="00FA0A88" w:rsidRDefault="004D3232" w:rsidP="00862718">
            <w:pPr>
              <w:keepLines/>
              <w:widowControl w:val="0"/>
              <w:jc w:val="center"/>
              <w:rPr>
                <w:rFonts w:cstheme="minorHAnsi"/>
                <w:b/>
                <w:sz w:val="20"/>
                <w:szCs w:val="20"/>
              </w:rPr>
            </w:pPr>
            <w:r w:rsidRPr="00FA0A88">
              <w:rPr>
                <w:rFonts w:cstheme="minorHAnsi"/>
                <w:b/>
                <w:sz w:val="20"/>
                <w:szCs w:val="20"/>
              </w:rPr>
              <w:t>RESPONSIBILE ENTITY/AUTHORITY</w:t>
            </w:r>
          </w:p>
        </w:tc>
      </w:tr>
      <w:tr w:rsidR="004D3232" w:rsidRPr="00FA0A88" w:rsidTr="00147CE5">
        <w:trPr>
          <w:cantSplit/>
          <w:trHeight w:val="20"/>
        </w:trPr>
        <w:tc>
          <w:tcPr>
            <w:tcW w:w="14035" w:type="dxa"/>
            <w:gridSpan w:val="4"/>
            <w:tcBorders>
              <w:bottom w:val="single" w:sz="4" w:space="0" w:color="auto"/>
            </w:tcBorders>
            <w:shd w:val="clear" w:color="auto" w:fill="F4B083" w:themeFill="accent2" w:themeFillTint="99"/>
          </w:tcPr>
          <w:p w:rsidR="004D3232" w:rsidRPr="00FA0A88" w:rsidRDefault="004D3232" w:rsidP="005D394E">
            <w:pPr>
              <w:keepLines/>
              <w:widowControl w:val="0"/>
              <w:rPr>
                <w:rFonts w:cstheme="minorHAnsi"/>
                <w:b/>
                <w:sz w:val="20"/>
                <w:szCs w:val="20"/>
              </w:rPr>
            </w:pPr>
            <w:r w:rsidRPr="00FA0A88">
              <w:rPr>
                <w:rFonts w:cstheme="minorHAnsi"/>
                <w:b/>
                <w:sz w:val="20"/>
                <w:szCs w:val="20"/>
              </w:rPr>
              <w:t>MONITORING AND REPORTING</w:t>
            </w:r>
          </w:p>
        </w:tc>
      </w:tr>
      <w:tr w:rsidR="00860672" w:rsidRPr="00FA0A88" w:rsidTr="00147CE5">
        <w:trPr>
          <w:cantSplit/>
          <w:trHeight w:val="20"/>
        </w:trPr>
        <w:tc>
          <w:tcPr>
            <w:tcW w:w="585" w:type="dxa"/>
            <w:tcBorders>
              <w:bottom w:val="single" w:sz="4" w:space="0" w:color="auto"/>
            </w:tcBorders>
          </w:tcPr>
          <w:p w:rsidR="004D3232" w:rsidRPr="00FA0A88" w:rsidRDefault="004D3232" w:rsidP="005D394E">
            <w:pPr>
              <w:keepLines/>
              <w:widowControl w:val="0"/>
              <w:jc w:val="center"/>
              <w:rPr>
                <w:rFonts w:cstheme="minorHAnsi"/>
                <w:sz w:val="20"/>
                <w:szCs w:val="20"/>
              </w:rPr>
            </w:pPr>
            <w:r w:rsidRPr="00FA0A88">
              <w:rPr>
                <w:rFonts w:cstheme="minorHAnsi"/>
                <w:sz w:val="20"/>
                <w:szCs w:val="20"/>
              </w:rPr>
              <w:t>A</w:t>
            </w:r>
          </w:p>
        </w:tc>
        <w:tc>
          <w:tcPr>
            <w:tcW w:w="7960" w:type="dxa"/>
            <w:tcBorders>
              <w:bottom w:val="single" w:sz="4" w:space="0" w:color="auto"/>
            </w:tcBorders>
          </w:tcPr>
          <w:p w:rsidR="004D3232" w:rsidRPr="003B05CB" w:rsidRDefault="004D3232" w:rsidP="005D394E">
            <w:pPr>
              <w:keepLines/>
              <w:widowControl w:val="0"/>
              <w:rPr>
                <w:rFonts w:cstheme="minorHAnsi"/>
                <w:sz w:val="20"/>
                <w:szCs w:val="20"/>
              </w:rPr>
            </w:pPr>
            <w:r w:rsidRPr="003B05CB">
              <w:rPr>
                <w:rFonts w:cstheme="minorHAnsi"/>
                <w:b/>
                <w:color w:val="5B9BD5" w:themeColor="accent5"/>
                <w:sz w:val="20"/>
                <w:szCs w:val="20"/>
              </w:rPr>
              <w:t xml:space="preserve">REGULAR REPORTING  </w:t>
            </w:r>
          </w:p>
          <w:p w:rsidR="004D3232" w:rsidRPr="003B05CB" w:rsidRDefault="004D3232" w:rsidP="005D394E">
            <w:pPr>
              <w:keepLines/>
              <w:widowControl w:val="0"/>
              <w:rPr>
                <w:rFonts w:cstheme="minorHAnsi"/>
                <w:sz w:val="20"/>
                <w:szCs w:val="20"/>
              </w:rPr>
            </w:pPr>
            <w:r w:rsidRPr="003B05CB">
              <w:rPr>
                <w:rFonts w:cstheme="minorHAnsi"/>
                <w:sz w:val="20"/>
                <w:szCs w:val="20"/>
              </w:rPr>
              <w:t xml:space="preserve">Prepare and submit to the </w:t>
            </w:r>
            <w:r>
              <w:rPr>
                <w:rFonts w:cstheme="minorHAnsi"/>
                <w:sz w:val="20"/>
                <w:szCs w:val="20"/>
              </w:rPr>
              <w:t>Association</w:t>
            </w:r>
            <w:r w:rsidRPr="003B05CB">
              <w:rPr>
                <w:rFonts w:cstheme="minorHAnsi"/>
                <w:sz w:val="20"/>
                <w:szCs w:val="20"/>
              </w:rPr>
              <w:t xml:space="preserve"> regular monitoring reports on the environmental, social, health and safety (ESHS) performance of the PPA, including but not limited to the implementation of the ESCP, status of preparation and implementation of E&amp;S documents required under the ESCP, stakeholder engagement activities, functioning of the grievance mechanism(s).</w:t>
            </w:r>
          </w:p>
        </w:tc>
        <w:tc>
          <w:tcPr>
            <w:tcW w:w="3960" w:type="dxa"/>
            <w:tcBorders>
              <w:bottom w:val="single" w:sz="4" w:space="0" w:color="auto"/>
            </w:tcBorders>
          </w:tcPr>
          <w:p w:rsidR="004D3232" w:rsidRPr="00860672" w:rsidRDefault="004D3232" w:rsidP="00DB1C3B">
            <w:pPr>
              <w:keepLines/>
              <w:widowControl w:val="0"/>
              <w:rPr>
                <w:rFonts w:cstheme="minorHAnsi"/>
                <w:sz w:val="20"/>
                <w:szCs w:val="20"/>
              </w:rPr>
            </w:pPr>
            <w:r w:rsidRPr="00860672">
              <w:rPr>
                <w:rFonts w:cstheme="minorHAnsi"/>
                <w:sz w:val="20"/>
                <w:szCs w:val="20"/>
              </w:rPr>
              <w:t>Every 3 months starting from the Advance AgreementEffective Date and throughout the PPA implementation.</w:t>
            </w:r>
          </w:p>
          <w:p w:rsidR="004D3232" w:rsidRPr="003B05CB" w:rsidRDefault="004D3232" w:rsidP="005D394E">
            <w:pPr>
              <w:keepLines/>
              <w:widowControl w:val="0"/>
              <w:rPr>
                <w:rFonts w:cstheme="minorHAnsi"/>
                <w:sz w:val="20"/>
                <w:szCs w:val="20"/>
              </w:rPr>
            </w:pPr>
          </w:p>
        </w:tc>
        <w:tc>
          <w:tcPr>
            <w:tcW w:w="1530" w:type="dxa"/>
            <w:tcBorders>
              <w:bottom w:val="single" w:sz="4" w:space="0" w:color="auto"/>
            </w:tcBorders>
          </w:tcPr>
          <w:p w:rsidR="004D3232" w:rsidRPr="003B05CB" w:rsidRDefault="004D3232" w:rsidP="005D394E">
            <w:pPr>
              <w:keepLines/>
              <w:widowControl w:val="0"/>
              <w:rPr>
                <w:rFonts w:cstheme="minorHAnsi"/>
                <w:sz w:val="20"/>
                <w:szCs w:val="20"/>
              </w:rPr>
            </w:pPr>
            <w:r>
              <w:rPr>
                <w:rFonts w:cstheme="minorHAnsi"/>
                <w:sz w:val="20"/>
                <w:szCs w:val="20"/>
              </w:rPr>
              <w:t>AFAP</w:t>
            </w:r>
          </w:p>
        </w:tc>
      </w:tr>
      <w:tr w:rsidR="00860672" w:rsidRPr="00FA0A88" w:rsidTr="00147CE5">
        <w:trPr>
          <w:cantSplit/>
          <w:trHeight w:val="20"/>
        </w:trPr>
        <w:tc>
          <w:tcPr>
            <w:tcW w:w="585" w:type="dxa"/>
            <w:tcBorders>
              <w:bottom w:val="single" w:sz="4" w:space="0" w:color="000000" w:themeColor="text1"/>
            </w:tcBorders>
          </w:tcPr>
          <w:p w:rsidR="004D3232" w:rsidRPr="00FA0A88" w:rsidRDefault="004D3232" w:rsidP="005D394E">
            <w:pPr>
              <w:keepLines/>
              <w:widowControl w:val="0"/>
              <w:jc w:val="center"/>
              <w:rPr>
                <w:rFonts w:cstheme="minorHAnsi"/>
                <w:sz w:val="20"/>
                <w:szCs w:val="20"/>
              </w:rPr>
            </w:pPr>
            <w:r w:rsidRPr="00FA0A88">
              <w:rPr>
                <w:rFonts w:cstheme="minorHAnsi"/>
                <w:sz w:val="20"/>
                <w:szCs w:val="20"/>
              </w:rPr>
              <w:t>B</w:t>
            </w:r>
          </w:p>
        </w:tc>
        <w:tc>
          <w:tcPr>
            <w:tcW w:w="7960" w:type="dxa"/>
            <w:tcBorders>
              <w:bottom w:val="single" w:sz="4" w:space="0" w:color="000000" w:themeColor="text1"/>
            </w:tcBorders>
          </w:tcPr>
          <w:p w:rsidR="004D3232" w:rsidRPr="003B05CB" w:rsidRDefault="004D3232" w:rsidP="003B05CB">
            <w:pPr>
              <w:keepLines/>
              <w:widowControl w:val="0"/>
              <w:rPr>
                <w:rFonts w:cstheme="minorHAnsi"/>
                <w:b/>
                <w:color w:val="5B9BD5" w:themeColor="accent5"/>
                <w:sz w:val="20"/>
                <w:szCs w:val="20"/>
              </w:rPr>
            </w:pPr>
            <w:r w:rsidRPr="003B05CB">
              <w:rPr>
                <w:rFonts w:cstheme="minorHAnsi"/>
                <w:b/>
                <w:color w:val="5B9BD5" w:themeColor="accent5"/>
                <w:sz w:val="20"/>
                <w:szCs w:val="20"/>
              </w:rPr>
              <w:t xml:space="preserve">INCIDENTS AND ACCIDENTS </w:t>
            </w:r>
          </w:p>
          <w:p w:rsidR="004D3232" w:rsidRDefault="004D3232" w:rsidP="00783E3C">
            <w:pPr>
              <w:pStyle w:val="ModelNrmlSingle"/>
              <w:keepLines/>
              <w:widowControl w:val="0"/>
              <w:numPr>
                <w:ilvl w:val="0"/>
                <w:numId w:val="23"/>
              </w:numPr>
              <w:spacing w:after="0"/>
              <w:jc w:val="left"/>
              <w:rPr>
                <w:rFonts w:asciiTheme="minorHAnsi" w:hAnsiTheme="minorHAnsi" w:cstheme="minorHAnsi"/>
                <w:sz w:val="20"/>
              </w:rPr>
            </w:pPr>
            <w:r w:rsidRPr="003B05CB">
              <w:rPr>
                <w:rFonts w:asciiTheme="minorHAnsi" w:hAnsiTheme="minorHAnsi" w:cstheme="minorHAnsi"/>
                <w:bCs/>
                <w:sz w:val="20"/>
              </w:rPr>
              <w:t xml:space="preserve">Promptly notify the </w:t>
            </w:r>
            <w:r>
              <w:rPr>
                <w:rFonts w:asciiTheme="minorHAnsi" w:hAnsiTheme="minorHAnsi" w:cstheme="minorHAnsi"/>
                <w:bCs/>
                <w:sz w:val="20"/>
              </w:rPr>
              <w:t>Association</w:t>
            </w:r>
            <w:r w:rsidRPr="003B05CB">
              <w:rPr>
                <w:rFonts w:asciiTheme="minorHAnsi" w:hAnsiTheme="minorHAnsi" w:cstheme="minorHAnsi"/>
                <w:bCs/>
                <w:sz w:val="20"/>
              </w:rPr>
              <w:t xml:space="preserve"> of any incident or accident related to the PPA activities which has, or is likely to have,</w:t>
            </w:r>
            <w:r w:rsidRPr="003B05CB">
              <w:rPr>
                <w:rFonts w:asciiTheme="minorHAnsi" w:hAnsiTheme="minorHAnsi" w:cstheme="minorHAnsi"/>
                <w:sz w:val="20"/>
              </w:rPr>
              <w:t xml:space="preserve"> a significant adverse effect on the environment, the affected communities, the public or workers</w:t>
            </w:r>
            <w:r w:rsidR="00147CE5">
              <w:rPr>
                <w:rFonts w:asciiTheme="minorHAnsi" w:hAnsiTheme="minorHAnsi" w:cstheme="minorHAnsi"/>
                <w:sz w:val="20"/>
              </w:rPr>
              <w:t xml:space="preserve">. </w:t>
            </w:r>
            <w:r w:rsidRPr="003B05CB">
              <w:rPr>
                <w:rFonts w:asciiTheme="minorHAnsi" w:hAnsiTheme="minorHAnsi" w:cstheme="minorHAnsi"/>
                <w:sz w:val="20"/>
              </w:rPr>
              <w:t xml:space="preserve">Provide sufficient detail regarding the incident or accident, indicating immediate measures taken or that are planned to be taken to address it, and any information provided by any contractor and supervising entity, as appropriate. Subsequently, as per the </w:t>
            </w:r>
            <w:r>
              <w:rPr>
                <w:rFonts w:asciiTheme="minorHAnsi" w:hAnsiTheme="minorHAnsi" w:cstheme="minorHAnsi"/>
                <w:sz w:val="20"/>
              </w:rPr>
              <w:t>Association</w:t>
            </w:r>
            <w:r w:rsidRPr="003B05CB">
              <w:rPr>
                <w:rFonts w:asciiTheme="minorHAnsi" w:hAnsiTheme="minorHAnsi" w:cstheme="minorHAnsi"/>
                <w:sz w:val="20"/>
              </w:rPr>
              <w:t xml:space="preserve">’s request, prepare a report on the incident or accident and propose any measures to prevent its recurrence. </w:t>
            </w:r>
          </w:p>
          <w:p w:rsidR="00147CE5" w:rsidRDefault="00147CE5" w:rsidP="00783E3C">
            <w:pPr>
              <w:pStyle w:val="ModelNrmlSingle"/>
              <w:keepLines/>
              <w:widowControl w:val="0"/>
              <w:numPr>
                <w:ilvl w:val="0"/>
                <w:numId w:val="23"/>
              </w:numPr>
              <w:spacing w:after="0"/>
              <w:rPr>
                <w:rFonts w:asciiTheme="minorHAnsi" w:hAnsiTheme="minorHAnsi" w:cstheme="minorHAnsi"/>
                <w:sz w:val="20"/>
              </w:rPr>
            </w:pPr>
            <w:r w:rsidRPr="0054518E">
              <w:rPr>
                <w:rFonts w:asciiTheme="minorHAnsi" w:hAnsiTheme="minorHAnsi" w:cstheme="minorHAnsi"/>
                <w:sz w:val="20"/>
              </w:rPr>
              <w:t>For SEA/SH incidents, reports to the Bank regarding these claims must adhere to international norms and best practices regarding the management and sharing of survivor data (WHO Ethical and safety recommendations, 2007; GBVIMS Best Practices). As such, confidentiality should be ensured for the survivor as well as the accused, with no identifying information for either provided. The details regarding SEA/SH incidents shall include only the following: date of incident; type of GBV; survivor age/sex; whether the incident is linked to the Project (if known); whether the survivor was referred for services; whether the accused signed a Code of Conduct (CoC) and, once the GM verification process is complete, any sanctions taken against the accused.</w:t>
            </w:r>
          </w:p>
          <w:p w:rsidR="00147CE5" w:rsidRPr="003B05CB" w:rsidRDefault="00147CE5" w:rsidP="00783E3C">
            <w:pPr>
              <w:pStyle w:val="ModelNrmlSingle"/>
              <w:keepLines/>
              <w:widowControl w:val="0"/>
              <w:numPr>
                <w:ilvl w:val="0"/>
                <w:numId w:val="23"/>
              </w:numPr>
              <w:spacing w:after="0"/>
              <w:jc w:val="left"/>
              <w:rPr>
                <w:rFonts w:asciiTheme="minorHAnsi" w:hAnsiTheme="minorHAnsi" w:cstheme="minorHAnsi"/>
                <w:sz w:val="20"/>
              </w:rPr>
            </w:pPr>
            <w:r w:rsidRPr="0054518E">
              <w:rPr>
                <w:rFonts w:asciiTheme="minorHAnsi" w:hAnsiTheme="minorHAnsi" w:cstheme="minorHAnsi"/>
                <w:sz w:val="20"/>
              </w:rPr>
              <w:t>For SEA/SH-related incidents, the survivor should be referred immediately to services following a survivor-centered protocol to be developed as part of the PPA Grievance Mechanism (GM), which will be adapted to manage SEA/SH claims ethically and confidentially.</w:t>
            </w:r>
          </w:p>
        </w:tc>
        <w:tc>
          <w:tcPr>
            <w:tcW w:w="3960" w:type="dxa"/>
            <w:tcBorders>
              <w:bottom w:val="single" w:sz="4" w:space="0" w:color="000000" w:themeColor="text1"/>
            </w:tcBorders>
          </w:tcPr>
          <w:p w:rsidR="004D3232" w:rsidRPr="003B05CB" w:rsidRDefault="004D3232" w:rsidP="00DB1C3B">
            <w:pPr>
              <w:keepLines/>
              <w:widowControl w:val="0"/>
              <w:rPr>
                <w:rFonts w:cstheme="minorHAnsi"/>
                <w:sz w:val="20"/>
                <w:szCs w:val="20"/>
              </w:rPr>
            </w:pPr>
            <w:r w:rsidRPr="00DB1C3B">
              <w:rPr>
                <w:rFonts w:cstheme="minorHAnsi"/>
                <w:sz w:val="20"/>
                <w:szCs w:val="20"/>
              </w:rPr>
              <w:t>Immediately, and in any case no later than 48 hours after the Recipient or any of the participating agencies or units becomes aware of such accidents or incidents</w:t>
            </w:r>
            <w:r w:rsidR="006170CD">
              <w:rPr>
                <w:rFonts w:cstheme="minorHAnsi"/>
                <w:sz w:val="20"/>
                <w:szCs w:val="20"/>
              </w:rPr>
              <w:t>.</w:t>
            </w:r>
            <w:r>
              <w:rPr>
                <w:rFonts w:cstheme="minorHAnsi"/>
                <w:sz w:val="20"/>
                <w:szCs w:val="20"/>
              </w:rPr>
              <w:t>AFAP</w:t>
            </w:r>
            <w:r w:rsidRPr="00DB1C3B">
              <w:rPr>
                <w:rFonts w:cstheme="minorHAnsi"/>
                <w:sz w:val="20"/>
                <w:szCs w:val="20"/>
              </w:rPr>
              <w:t xml:space="preserve"> shall provide an incident and accident report within a period acceptable to the Association.</w:t>
            </w:r>
          </w:p>
        </w:tc>
        <w:tc>
          <w:tcPr>
            <w:tcW w:w="1530" w:type="dxa"/>
            <w:tcBorders>
              <w:bottom w:val="single" w:sz="4" w:space="0" w:color="000000" w:themeColor="text1"/>
            </w:tcBorders>
          </w:tcPr>
          <w:p w:rsidR="004D3232" w:rsidRPr="00CB05DD" w:rsidRDefault="004D3232" w:rsidP="005D394E">
            <w:pPr>
              <w:keepLines/>
              <w:widowControl w:val="0"/>
              <w:rPr>
                <w:rFonts w:cstheme="minorHAnsi"/>
                <w:sz w:val="20"/>
                <w:szCs w:val="20"/>
              </w:rPr>
            </w:pPr>
            <w:r>
              <w:rPr>
                <w:rFonts w:cstheme="minorHAnsi"/>
                <w:sz w:val="20"/>
                <w:szCs w:val="20"/>
              </w:rPr>
              <w:t>AFAP</w:t>
            </w:r>
          </w:p>
        </w:tc>
      </w:tr>
      <w:tr w:rsidR="004D3232" w:rsidRPr="00FA0A88" w:rsidTr="00147CE5">
        <w:trPr>
          <w:cantSplit/>
          <w:trHeight w:val="20"/>
        </w:trPr>
        <w:tc>
          <w:tcPr>
            <w:tcW w:w="14035" w:type="dxa"/>
            <w:gridSpan w:val="4"/>
            <w:tcBorders>
              <w:top w:val="single" w:sz="4" w:space="0" w:color="000000" w:themeColor="text1"/>
            </w:tcBorders>
            <w:shd w:val="clear" w:color="auto" w:fill="F4B083" w:themeFill="accent2" w:themeFillTint="99"/>
          </w:tcPr>
          <w:p w:rsidR="004D3232" w:rsidRPr="00FA0A88" w:rsidRDefault="004D3232" w:rsidP="005D394E">
            <w:pPr>
              <w:keepLines/>
              <w:widowControl w:val="0"/>
              <w:rPr>
                <w:rFonts w:cstheme="minorHAnsi"/>
                <w:b/>
                <w:sz w:val="20"/>
                <w:szCs w:val="20"/>
              </w:rPr>
            </w:pPr>
            <w:r w:rsidRPr="00FA0A88">
              <w:rPr>
                <w:rFonts w:cstheme="minorHAnsi"/>
                <w:b/>
                <w:sz w:val="20"/>
                <w:szCs w:val="20"/>
              </w:rPr>
              <w:t>ESS 1:  ASSESSMENT AND MANAGEMENT OF ENVIRONMENTAL AND SOCIAL RISKS AND IMPACTS</w:t>
            </w:r>
          </w:p>
        </w:tc>
      </w:tr>
      <w:tr w:rsidR="00860672" w:rsidRPr="00FA0A88" w:rsidTr="00147CE5">
        <w:trPr>
          <w:cantSplit/>
          <w:trHeight w:val="20"/>
        </w:trPr>
        <w:tc>
          <w:tcPr>
            <w:tcW w:w="585" w:type="dxa"/>
            <w:tcBorders>
              <w:top w:val="single" w:sz="4" w:space="0" w:color="000000" w:themeColor="text1"/>
            </w:tcBorders>
          </w:tcPr>
          <w:p w:rsidR="004D3232" w:rsidRPr="00FA0A88" w:rsidRDefault="004D3232" w:rsidP="005D394E">
            <w:pPr>
              <w:keepLines/>
              <w:widowControl w:val="0"/>
              <w:jc w:val="center"/>
              <w:rPr>
                <w:rFonts w:cstheme="minorHAnsi"/>
                <w:sz w:val="20"/>
                <w:szCs w:val="20"/>
              </w:rPr>
            </w:pPr>
            <w:r w:rsidRPr="00FA0A88">
              <w:rPr>
                <w:rFonts w:cstheme="minorHAnsi"/>
                <w:sz w:val="20"/>
                <w:szCs w:val="20"/>
              </w:rPr>
              <w:t>1.1</w:t>
            </w:r>
          </w:p>
        </w:tc>
        <w:tc>
          <w:tcPr>
            <w:tcW w:w="7960" w:type="dxa"/>
            <w:tcBorders>
              <w:top w:val="single" w:sz="4" w:space="0" w:color="000000" w:themeColor="text1"/>
            </w:tcBorders>
          </w:tcPr>
          <w:p w:rsidR="004D3232" w:rsidRPr="00FA0A88" w:rsidRDefault="004D3232" w:rsidP="005D394E">
            <w:pPr>
              <w:keepLines/>
              <w:widowControl w:val="0"/>
              <w:rPr>
                <w:rFonts w:cstheme="minorHAnsi"/>
                <w:sz w:val="20"/>
                <w:szCs w:val="20"/>
              </w:rPr>
            </w:pPr>
            <w:r w:rsidRPr="00FA0A88">
              <w:rPr>
                <w:rFonts w:cstheme="minorHAnsi"/>
                <w:b/>
                <w:color w:val="5B9BD5" w:themeColor="accent5"/>
                <w:sz w:val="20"/>
                <w:szCs w:val="20"/>
              </w:rPr>
              <w:t>ORGANIZATIONAL STRUCTURE</w:t>
            </w:r>
          </w:p>
          <w:p w:rsidR="004D3232" w:rsidRPr="00FA0A88" w:rsidRDefault="004D3232" w:rsidP="5F88BE35">
            <w:pPr>
              <w:keepLines/>
              <w:widowControl w:val="0"/>
              <w:rPr>
                <w:sz w:val="20"/>
                <w:szCs w:val="20"/>
                <w:highlight w:val="yellow"/>
              </w:rPr>
            </w:pPr>
            <w:r w:rsidRPr="5F88BE35">
              <w:rPr>
                <w:sz w:val="20"/>
                <w:szCs w:val="20"/>
              </w:rPr>
              <w:t xml:space="preserve">Establish and maintain an organizational structure with qualified staff and resources to support management of E&amp;S risks </w:t>
            </w:r>
            <w:r w:rsidRPr="5F88BE35">
              <w:rPr>
                <w:rFonts w:ascii="Calibri" w:eastAsia="Calibri" w:hAnsi="Calibri" w:cs="Calibri"/>
                <w:sz w:val="20"/>
                <w:szCs w:val="20"/>
              </w:rPr>
              <w:t xml:space="preserve">identification, management and supervision. Specifically, the project will recruit at the PIU level: One (1) Environmental </w:t>
            </w:r>
            <w:r w:rsidR="00D518EA">
              <w:rPr>
                <w:rFonts w:ascii="Calibri" w:eastAsia="Calibri" w:hAnsi="Calibri" w:cs="Calibri"/>
                <w:sz w:val="20"/>
                <w:szCs w:val="20"/>
              </w:rPr>
              <w:t>specialist</w:t>
            </w:r>
            <w:r w:rsidRPr="5F88BE35">
              <w:rPr>
                <w:rFonts w:ascii="Calibri" w:eastAsia="Calibri" w:hAnsi="Calibri" w:cs="Calibri"/>
                <w:sz w:val="20"/>
                <w:szCs w:val="20"/>
              </w:rPr>
              <w:t xml:space="preserve">; one (1) Social Development </w:t>
            </w:r>
            <w:r w:rsidR="00D518EA">
              <w:rPr>
                <w:rFonts w:ascii="Calibri" w:eastAsia="Calibri" w:hAnsi="Calibri" w:cs="Calibri"/>
                <w:sz w:val="20"/>
                <w:szCs w:val="20"/>
              </w:rPr>
              <w:t>specialist</w:t>
            </w:r>
            <w:r w:rsidRPr="5F88BE35">
              <w:rPr>
                <w:rFonts w:ascii="Calibri" w:eastAsia="Calibri" w:hAnsi="Calibri" w:cs="Calibri"/>
                <w:sz w:val="20"/>
                <w:szCs w:val="20"/>
              </w:rPr>
              <w:t xml:space="preserve">.  </w:t>
            </w:r>
          </w:p>
        </w:tc>
        <w:tc>
          <w:tcPr>
            <w:tcW w:w="3960" w:type="dxa"/>
            <w:tcBorders>
              <w:top w:val="single" w:sz="4" w:space="0" w:color="000000" w:themeColor="text1"/>
            </w:tcBorders>
          </w:tcPr>
          <w:p w:rsidR="004D3232" w:rsidRPr="00860672" w:rsidRDefault="004D3232" w:rsidP="5F88BE35">
            <w:pPr>
              <w:keepLines/>
              <w:widowControl w:val="0"/>
              <w:rPr>
                <w:rFonts w:cstheme="minorHAnsi"/>
                <w:sz w:val="20"/>
                <w:szCs w:val="20"/>
              </w:rPr>
            </w:pPr>
            <w:r w:rsidRPr="00860672">
              <w:rPr>
                <w:rFonts w:cstheme="minorHAnsi"/>
                <w:sz w:val="20"/>
                <w:szCs w:val="20"/>
              </w:rPr>
              <w:t>Recruitment of one Environment and one Social specialist at PIU level no later than 60 days after PPA approval. Environmental and Social Development specialist</w:t>
            </w:r>
            <w:r w:rsidR="00D518EA" w:rsidRPr="00860672">
              <w:rPr>
                <w:rFonts w:cstheme="minorHAnsi"/>
                <w:sz w:val="20"/>
                <w:szCs w:val="20"/>
              </w:rPr>
              <w:t>s</w:t>
            </w:r>
            <w:r w:rsidRPr="00860672">
              <w:rPr>
                <w:rFonts w:cstheme="minorHAnsi"/>
                <w:sz w:val="20"/>
                <w:szCs w:val="20"/>
              </w:rPr>
              <w:t xml:space="preserve"> maintained throughout Project implementation. </w:t>
            </w:r>
          </w:p>
        </w:tc>
        <w:tc>
          <w:tcPr>
            <w:tcW w:w="1530" w:type="dxa"/>
            <w:tcBorders>
              <w:top w:val="single" w:sz="4" w:space="0" w:color="000000" w:themeColor="text1"/>
            </w:tcBorders>
          </w:tcPr>
          <w:p w:rsidR="004D3232" w:rsidRPr="00FA0A88" w:rsidRDefault="004D3232" w:rsidP="005D394E">
            <w:pPr>
              <w:keepLines/>
              <w:widowControl w:val="0"/>
              <w:rPr>
                <w:rFonts w:cstheme="minorHAnsi"/>
                <w:sz w:val="20"/>
                <w:szCs w:val="20"/>
              </w:rPr>
            </w:pPr>
            <w:r>
              <w:rPr>
                <w:rFonts w:cstheme="minorHAnsi"/>
                <w:sz w:val="20"/>
                <w:szCs w:val="20"/>
              </w:rPr>
              <w:t>AFAP</w:t>
            </w:r>
          </w:p>
        </w:tc>
      </w:tr>
      <w:tr w:rsidR="002A4589" w:rsidRPr="00FA0A88" w:rsidTr="00147CE5">
        <w:trPr>
          <w:cantSplit/>
          <w:trHeight w:val="20"/>
        </w:trPr>
        <w:tc>
          <w:tcPr>
            <w:tcW w:w="585" w:type="dxa"/>
            <w:tcBorders>
              <w:top w:val="single" w:sz="4" w:space="0" w:color="000000" w:themeColor="text1"/>
            </w:tcBorders>
          </w:tcPr>
          <w:p w:rsidR="002A4589" w:rsidRPr="00FA0A88" w:rsidRDefault="002A4589" w:rsidP="005D394E">
            <w:pPr>
              <w:keepLines/>
              <w:widowControl w:val="0"/>
              <w:jc w:val="center"/>
              <w:rPr>
                <w:rFonts w:cstheme="minorHAnsi"/>
                <w:sz w:val="20"/>
                <w:szCs w:val="20"/>
              </w:rPr>
            </w:pPr>
            <w:r>
              <w:rPr>
                <w:rFonts w:cstheme="minorHAnsi"/>
                <w:sz w:val="20"/>
                <w:szCs w:val="20"/>
              </w:rPr>
              <w:lastRenderedPageBreak/>
              <w:t>1.2</w:t>
            </w:r>
          </w:p>
        </w:tc>
        <w:tc>
          <w:tcPr>
            <w:tcW w:w="7960" w:type="dxa"/>
            <w:tcBorders>
              <w:top w:val="single" w:sz="4" w:space="0" w:color="000000" w:themeColor="text1"/>
            </w:tcBorders>
          </w:tcPr>
          <w:p w:rsidR="002A4589" w:rsidRDefault="002A4589" w:rsidP="005D394E">
            <w:pPr>
              <w:keepLines/>
              <w:widowControl w:val="0"/>
              <w:rPr>
                <w:noProof/>
              </w:rPr>
            </w:pPr>
            <w:r w:rsidRPr="1F3F2633">
              <w:rPr>
                <w:b/>
                <w:bCs/>
                <w:color w:val="5B9BD5" w:themeColor="accent5"/>
                <w:sz w:val="20"/>
                <w:szCs w:val="20"/>
              </w:rPr>
              <w:t>ENVIRONMENTAL AND SOCIAL ASSESSMENT</w:t>
            </w:r>
          </w:p>
          <w:p w:rsidR="002A4589" w:rsidRPr="00FA0A88" w:rsidRDefault="002A4589" w:rsidP="005D394E">
            <w:pPr>
              <w:keepLines/>
              <w:widowControl w:val="0"/>
              <w:rPr>
                <w:rFonts w:cstheme="minorHAnsi"/>
                <w:b/>
                <w:color w:val="5B9BD5" w:themeColor="accent5"/>
                <w:sz w:val="20"/>
                <w:szCs w:val="20"/>
              </w:rPr>
            </w:pPr>
            <w:r>
              <w:rPr>
                <w:rFonts w:cstheme="minorHAnsi"/>
                <w:sz w:val="20"/>
                <w:szCs w:val="20"/>
              </w:rPr>
              <w:t>Carry out,</w:t>
            </w:r>
            <w:r w:rsidRPr="00FA0A88">
              <w:rPr>
                <w:rFonts w:cstheme="minorHAnsi"/>
                <w:sz w:val="20"/>
                <w:szCs w:val="20"/>
              </w:rPr>
              <w:t xml:space="preserve"> adopt, and </w:t>
            </w:r>
            <w:r>
              <w:rPr>
                <w:rFonts w:cstheme="minorHAnsi"/>
                <w:sz w:val="20"/>
                <w:szCs w:val="20"/>
              </w:rPr>
              <w:t>disclose environmental and social risk management instruments, including an Environmental and Social Framework (ESMF),</w:t>
            </w:r>
            <w:r w:rsidR="00574569">
              <w:rPr>
                <w:rFonts w:cstheme="minorHAnsi"/>
                <w:sz w:val="20"/>
                <w:szCs w:val="20"/>
              </w:rPr>
              <w:t xml:space="preserve">Labour Management Procedures </w:t>
            </w:r>
            <w:r w:rsidR="00574569" w:rsidRPr="3D624DA8">
              <w:rPr>
                <w:noProof/>
              </w:rPr>
              <w:t xml:space="preserve">(including a Project workers-specific GRM), Codes of Practice for e-Waste and Biodiversity Management Plan, a GBV/SEA/SH Assessment and </w:t>
            </w:r>
            <w:r w:rsidR="00574569">
              <w:rPr>
                <w:noProof/>
              </w:rPr>
              <w:t>potentiallyrelated GBV/SE/ASH Action Plan.</w:t>
            </w:r>
          </w:p>
        </w:tc>
        <w:tc>
          <w:tcPr>
            <w:tcW w:w="3960" w:type="dxa"/>
            <w:tcBorders>
              <w:top w:val="single" w:sz="4" w:space="0" w:color="000000" w:themeColor="text1"/>
            </w:tcBorders>
          </w:tcPr>
          <w:p w:rsidR="002A4589" w:rsidRPr="00860672" w:rsidRDefault="002A4589" w:rsidP="5F88BE35">
            <w:pPr>
              <w:keepLines/>
              <w:widowControl w:val="0"/>
              <w:rPr>
                <w:rFonts w:cstheme="minorHAnsi"/>
                <w:sz w:val="20"/>
                <w:szCs w:val="20"/>
              </w:rPr>
            </w:pPr>
          </w:p>
        </w:tc>
        <w:tc>
          <w:tcPr>
            <w:tcW w:w="1530" w:type="dxa"/>
            <w:tcBorders>
              <w:top w:val="single" w:sz="4" w:space="0" w:color="000000" w:themeColor="text1"/>
            </w:tcBorders>
          </w:tcPr>
          <w:p w:rsidR="002A4589" w:rsidRDefault="002A4589" w:rsidP="005D394E">
            <w:pPr>
              <w:keepLines/>
              <w:widowControl w:val="0"/>
              <w:rPr>
                <w:rFonts w:cstheme="minorHAnsi"/>
                <w:sz w:val="20"/>
                <w:szCs w:val="20"/>
              </w:rPr>
            </w:pPr>
          </w:p>
        </w:tc>
      </w:tr>
      <w:tr w:rsidR="00860672" w:rsidRPr="00FA0A88" w:rsidTr="00147CE5">
        <w:trPr>
          <w:cantSplit/>
          <w:trHeight w:val="20"/>
        </w:trPr>
        <w:tc>
          <w:tcPr>
            <w:tcW w:w="585" w:type="dxa"/>
          </w:tcPr>
          <w:p w:rsidR="004D3232" w:rsidRPr="00FA0A88" w:rsidRDefault="004D3232" w:rsidP="005D394E">
            <w:pPr>
              <w:keepLines/>
              <w:widowControl w:val="0"/>
              <w:jc w:val="center"/>
              <w:rPr>
                <w:rFonts w:cstheme="minorHAnsi"/>
                <w:sz w:val="20"/>
                <w:szCs w:val="20"/>
              </w:rPr>
            </w:pPr>
            <w:r>
              <w:rPr>
                <w:rFonts w:cstheme="minorHAnsi"/>
                <w:sz w:val="20"/>
                <w:szCs w:val="20"/>
              </w:rPr>
              <w:t>1.</w:t>
            </w:r>
            <w:r w:rsidR="002A4589">
              <w:rPr>
                <w:rFonts w:cstheme="minorHAnsi"/>
                <w:sz w:val="20"/>
                <w:szCs w:val="20"/>
              </w:rPr>
              <w:t>3</w:t>
            </w:r>
          </w:p>
        </w:tc>
        <w:tc>
          <w:tcPr>
            <w:tcW w:w="7960" w:type="dxa"/>
          </w:tcPr>
          <w:p w:rsidR="004D3232" w:rsidRDefault="004D3232" w:rsidP="005D394E">
            <w:pPr>
              <w:keepLines/>
              <w:widowControl w:val="0"/>
              <w:rPr>
                <w:rFonts w:cstheme="minorHAnsi"/>
                <w:b/>
                <w:color w:val="5B9BD5" w:themeColor="accent5"/>
                <w:sz w:val="20"/>
                <w:szCs w:val="20"/>
              </w:rPr>
            </w:pPr>
            <w:r w:rsidRPr="5F88BE35">
              <w:rPr>
                <w:b/>
                <w:bCs/>
                <w:color w:val="5B9BD5" w:themeColor="accent5"/>
                <w:sz w:val="20"/>
                <w:szCs w:val="20"/>
              </w:rPr>
              <w:t>TEC</w:t>
            </w:r>
            <w:r w:rsidR="00155CAC">
              <w:rPr>
                <w:b/>
                <w:bCs/>
                <w:color w:val="5B9BD5" w:themeColor="accent5"/>
                <w:sz w:val="20"/>
                <w:szCs w:val="20"/>
              </w:rPr>
              <w:t>H</w:t>
            </w:r>
            <w:r w:rsidRPr="5F88BE35">
              <w:rPr>
                <w:b/>
                <w:bCs/>
                <w:color w:val="5B9BD5" w:themeColor="accent5"/>
                <w:sz w:val="20"/>
                <w:szCs w:val="20"/>
              </w:rPr>
              <w:t>NICAL ASSISTANCE AND STUDIES</w:t>
            </w:r>
          </w:p>
          <w:p w:rsidR="004D3232" w:rsidRPr="000033B2" w:rsidRDefault="004D3232" w:rsidP="00CB626D">
            <w:pPr>
              <w:keepLines/>
              <w:widowControl w:val="0"/>
              <w:jc w:val="both"/>
              <w:rPr>
                <w:color w:val="5B9BD5" w:themeColor="accent5"/>
                <w:sz w:val="20"/>
                <w:szCs w:val="20"/>
              </w:rPr>
            </w:pPr>
            <w:r w:rsidRPr="5F88BE35">
              <w:rPr>
                <w:color w:val="000000" w:themeColor="text1"/>
                <w:sz w:val="20"/>
                <w:szCs w:val="20"/>
              </w:rPr>
              <w:t xml:space="preserve">The </w:t>
            </w:r>
            <w:r>
              <w:rPr>
                <w:color w:val="000000" w:themeColor="text1"/>
                <w:sz w:val="20"/>
                <w:szCs w:val="20"/>
              </w:rPr>
              <w:t>Recipient</w:t>
            </w:r>
            <w:r w:rsidRPr="5F88BE35">
              <w:rPr>
                <w:rFonts w:ascii="Calibri" w:eastAsia="Calibri" w:hAnsi="Calibri" w:cs="Calibri"/>
                <w:sz w:val="20"/>
                <w:szCs w:val="20"/>
              </w:rPr>
              <w:t xml:space="preserve"> shall ensure that (i) the consultancies, studies, and any other technical assistance activities under the PPA are carried out in accordance with terms of reference acceptable to the Association, that incorporate the relevant requirements of the ESSs</w:t>
            </w:r>
            <w:r w:rsidR="008A289E">
              <w:rPr>
                <w:rFonts w:ascii="Calibri" w:eastAsia="Calibri" w:hAnsi="Calibri" w:cs="Calibri"/>
                <w:sz w:val="20"/>
                <w:szCs w:val="20"/>
              </w:rPr>
              <w:t>;</w:t>
            </w:r>
            <w:r w:rsidRPr="5F88BE35">
              <w:rPr>
                <w:rFonts w:ascii="Calibri" w:eastAsia="Calibri" w:hAnsi="Calibri" w:cs="Calibri"/>
                <w:sz w:val="20"/>
                <w:szCs w:val="20"/>
              </w:rPr>
              <w:t xml:space="preserve">and(ii) outputs of the PPA, including, but not limited to, the preparation of environmental and social instruments for the Project, are prepared and/or delivered in a manner acceptable to the Association and duly incorporate and take into consideration the relevant requirements of the ESSs. </w:t>
            </w:r>
            <w:r w:rsidRPr="5F88BE35">
              <w:rPr>
                <w:color w:val="000000" w:themeColor="text1"/>
                <w:sz w:val="20"/>
                <w:szCs w:val="20"/>
              </w:rPr>
              <w:t xml:space="preserve">Such terms of reference shall be submitted to the </w:t>
            </w:r>
            <w:r>
              <w:rPr>
                <w:color w:val="000000" w:themeColor="text1"/>
                <w:sz w:val="20"/>
                <w:szCs w:val="20"/>
              </w:rPr>
              <w:t>Association</w:t>
            </w:r>
            <w:r w:rsidRPr="5F88BE35">
              <w:rPr>
                <w:color w:val="000000" w:themeColor="text1"/>
                <w:sz w:val="20"/>
                <w:szCs w:val="20"/>
              </w:rPr>
              <w:t xml:space="preserve"> for prior review and no objection.  </w:t>
            </w:r>
          </w:p>
        </w:tc>
        <w:tc>
          <w:tcPr>
            <w:tcW w:w="3960" w:type="dxa"/>
          </w:tcPr>
          <w:p w:rsidR="004D3232" w:rsidRPr="005D0063" w:rsidRDefault="004D3232" w:rsidP="005D394E">
            <w:pPr>
              <w:keepLines/>
              <w:widowControl w:val="0"/>
              <w:rPr>
                <w:rFonts w:cstheme="minorHAnsi"/>
                <w:sz w:val="20"/>
                <w:szCs w:val="20"/>
              </w:rPr>
            </w:pPr>
            <w:r w:rsidRPr="00860672">
              <w:rPr>
                <w:rFonts w:cstheme="minorHAnsi"/>
                <w:sz w:val="20"/>
                <w:szCs w:val="20"/>
              </w:rPr>
              <w:t>Prior to procurement of service providers/consultant services. Throughout the PPA implementation</w:t>
            </w:r>
            <w:r w:rsidR="00385E4E">
              <w:rPr>
                <w:rFonts w:eastAsia="Times New Roman" w:cstheme="minorHAnsi"/>
                <w:bCs/>
                <w:i/>
                <w:sz w:val="20"/>
                <w:szCs w:val="20"/>
              </w:rPr>
              <w:t>.</w:t>
            </w:r>
          </w:p>
        </w:tc>
        <w:tc>
          <w:tcPr>
            <w:tcW w:w="1530" w:type="dxa"/>
          </w:tcPr>
          <w:p w:rsidR="004D3232" w:rsidRPr="00FA0A88" w:rsidRDefault="004D3232" w:rsidP="005D394E">
            <w:pPr>
              <w:keepLines/>
              <w:widowControl w:val="0"/>
              <w:rPr>
                <w:rFonts w:cstheme="minorHAnsi"/>
                <w:sz w:val="20"/>
                <w:szCs w:val="20"/>
              </w:rPr>
            </w:pPr>
            <w:r>
              <w:rPr>
                <w:rFonts w:cstheme="minorHAnsi"/>
                <w:sz w:val="20"/>
                <w:szCs w:val="20"/>
              </w:rPr>
              <w:t>AFAP</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5D394E">
            <w:pPr>
              <w:keepLines/>
              <w:widowControl w:val="0"/>
              <w:rPr>
                <w:rFonts w:cstheme="minorHAnsi"/>
                <w:b/>
                <w:sz w:val="20"/>
                <w:szCs w:val="20"/>
              </w:rPr>
            </w:pPr>
            <w:r w:rsidRPr="00FA0A88">
              <w:rPr>
                <w:rFonts w:cstheme="minorHAnsi"/>
                <w:b/>
                <w:sz w:val="20"/>
                <w:szCs w:val="20"/>
              </w:rPr>
              <w:t xml:space="preserve">ESS 2:  LABOR AND WORKING CONDITIONS  </w:t>
            </w:r>
          </w:p>
        </w:tc>
      </w:tr>
      <w:tr w:rsidR="00860672" w:rsidRPr="00FA0A88" w:rsidTr="00147CE5">
        <w:trPr>
          <w:cantSplit/>
          <w:trHeight w:val="20"/>
        </w:trPr>
        <w:tc>
          <w:tcPr>
            <w:tcW w:w="585" w:type="dxa"/>
          </w:tcPr>
          <w:p w:rsidR="004D3232" w:rsidRPr="00FA0A88" w:rsidRDefault="004D3232" w:rsidP="005D394E">
            <w:pPr>
              <w:keepLines/>
              <w:widowControl w:val="0"/>
              <w:jc w:val="center"/>
              <w:rPr>
                <w:rFonts w:cstheme="minorHAnsi"/>
                <w:sz w:val="20"/>
                <w:szCs w:val="20"/>
              </w:rPr>
            </w:pPr>
            <w:r w:rsidRPr="00FA0A88">
              <w:rPr>
                <w:rFonts w:cstheme="minorHAnsi"/>
                <w:sz w:val="20"/>
                <w:szCs w:val="20"/>
              </w:rPr>
              <w:t>2.1</w:t>
            </w:r>
          </w:p>
        </w:tc>
        <w:tc>
          <w:tcPr>
            <w:tcW w:w="7960" w:type="dxa"/>
          </w:tcPr>
          <w:p w:rsidR="004D3232" w:rsidRPr="00FA0A88" w:rsidRDefault="004D3232" w:rsidP="00783E3C">
            <w:pPr>
              <w:keepLines/>
              <w:widowControl w:val="0"/>
              <w:jc w:val="both"/>
              <w:rPr>
                <w:rFonts w:cstheme="minorHAnsi"/>
                <w:b/>
                <w:color w:val="5B9BD5" w:themeColor="accent5"/>
                <w:sz w:val="20"/>
                <w:szCs w:val="20"/>
              </w:rPr>
            </w:pPr>
            <w:r w:rsidRPr="00FA0A88">
              <w:rPr>
                <w:rFonts w:cstheme="minorHAnsi"/>
                <w:b/>
                <w:color w:val="5B9BD5" w:themeColor="accent5"/>
                <w:sz w:val="20"/>
                <w:szCs w:val="20"/>
              </w:rPr>
              <w:t>LABOR MANAGEMENT PROCEDURES</w:t>
            </w:r>
          </w:p>
          <w:p w:rsidR="004D3232" w:rsidRPr="00FA0A88" w:rsidRDefault="002064DD" w:rsidP="00783E3C">
            <w:pPr>
              <w:keepLines/>
              <w:widowControl w:val="0"/>
              <w:jc w:val="both"/>
              <w:rPr>
                <w:sz w:val="20"/>
                <w:szCs w:val="20"/>
              </w:rPr>
            </w:pPr>
            <w:r w:rsidRPr="00981BC3">
              <w:rPr>
                <w:rFonts w:ascii="Calibri" w:eastAsia="Calibri" w:hAnsi="Calibri" w:cs="Calibri"/>
                <w:sz w:val="20"/>
                <w:szCs w:val="20"/>
              </w:rPr>
              <w:t>Labor management procedures, including Occupational Health and Safety (OHS) measures taking into account COVID-19 provisions, will be developed and adopted for the PPA</w:t>
            </w:r>
            <w:r>
              <w:rPr>
                <w:rFonts w:ascii="Calibri" w:eastAsia="Calibri" w:hAnsi="Calibri" w:cs="Calibri"/>
                <w:sz w:val="20"/>
                <w:szCs w:val="20"/>
              </w:rPr>
              <w:t>.</w:t>
            </w:r>
            <w:r w:rsidR="004D3232" w:rsidRPr="00860672">
              <w:rPr>
                <w:rFonts w:cstheme="minorHAnsi"/>
                <w:sz w:val="20"/>
                <w:szCs w:val="20"/>
              </w:rPr>
              <w:t>Ensure that: (a) the relevant aspects of ESS2 apply to the PPA workers, consultants and PIU staff as appropriate, in accordance with the type of workers involved in the PPA; (b) the Labor Management Procedures for the Project are develop</w:t>
            </w:r>
            <w:r w:rsidR="00385E4E">
              <w:rPr>
                <w:rFonts w:cstheme="minorHAnsi"/>
                <w:sz w:val="20"/>
                <w:szCs w:val="20"/>
              </w:rPr>
              <w:t>ed</w:t>
            </w:r>
            <w:r w:rsidR="004D3232" w:rsidRPr="00860672">
              <w:rPr>
                <w:rFonts w:cstheme="minorHAnsi"/>
                <w:sz w:val="20"/>
                <w:szCs w:val="20"/>
              </w:rPr>
              <w:t>; all in a manner acceptable to the Association and in accordance to the local laws</w:t>
            </w:r>
            <w:r w:rsidR="002701A2">
              <w:rPr>
                <w:rFonts w:cstheme="minorHAnsi"/>
                <w:sz w:val="20"/>
                <w:szCs w:val="20"/>
              </w:rPr>
              <w:t xml:space="preserve">; and (c) </w:t>
            </w:r>
            <w:r w:rsidR="004D3232" w:rsidRPr="00860672">
              <w:rPr>
                <w:rFonts w:cstheme="minorHAnsi"/>
                <w:sz w:val="20"/>
                <w:szCs w:val="20"/>
              </w:rPr>
              <w:t>All Project workers shall sign a code of conduct</w:t>
            </w:r>
            <w:r w:rsidR="002701A2">
              <w:rPr>
                <w:sz w:val="20"/>
                <w:szCs w:val="20"/>
              </w:rPr>
              <w:t>.</w:t>
            </w:r>
          </w:p>
        </w:tc>
        <w:tc>
          <w:tcPr>
            <w:tcW w:w="3960" w:type="dxa"/>
          </w:tcPr>
          <w:p w:rsidR="000B4B7D" w:rsidRDefault="002701A2" w:rsidP="005D09FE">
            <w:pPr>
              <w:keepLines/>
              <w:widowControl w:val="0"/>
              <w:rPr>
                <w:rFonts w:cstheme="minorHAnsi"/>
                <w:sz w:val="20"/>
                <w:szCs w:val="20"/>
              </w:rPr>
            </w:pPr>
            <w:r>
              <w:rPr>
                <w:rFonts w:cstheme="minorHAnsi"/>
                <w:sz w:val="20"/>
                <w:szCs w:val="20"/>
              </w:rPr>
              <w:t xml:space="preserve">(a) Throughout PPA </w:t>
            </w:r>
            <w:r w:rsidR="000B4B7D">
              <w:rPr>
                <w:rFonts w:cstheme="minorHAnsi"/>
                <w:sz w:val="20"/>
                <w:szCs w:val="20"/>
              </w:rPr>
              <w:t>implementation</w:t>
            </w:r>
          </w:p>
          <w:p w:rsidR="004D3232" w:rsidRDefault="000B4B7D" w:rsidP="005D09FE">
            <w:pPr>
              <w:keepLines/>
              <w:widowControl w:val="0"/>
              <w:rPr>
                <w:rFonts w:cstheme="minorHAnsi"/>
                <w:sz w:val="20"/>
                <w:szCs w:val="20"/>
              </w:rPr>
            </w:pPr>
            <w:r>
              <w:rPr>
                <w:rFonts w:cstheme="minorHAnsi"/>
                <w:sz w:val="20"/>
                <w:szCs w:val="20"/>
              </w:rPr>
              <w:t xml:space="preserve">(b) </w:t>
            </w:r>
            <w:r w:rsidR="004D3232" w:rsidRPr="00860672">
              <w:rPr>
                <w:rFonts w:cstheme="minorHAnsi"/>
                <w:sz w:val="20"/>
                <w:szCs w:val="20"/>
              </w:rPr>
              <w:t>Develop and adopt before Commencement of PPA Activities and within 30 days after Advance Agreement Effective Date. Maintained throughout PPA implementation.</w:t>
            </w:r>
          </w:p>
          <w:p w:rsidR="000B4B7D" w:rsidRPr="00860672" w:rsidRDefault="000B4B7D" w:rsidP="005D09FE">
            <w:pPr>
              <w:keepLines/>
              <w:widowControl w:val="0"/>
              <w:rPr>
                <w:rFonts w:cstheme="minorHAnsi"/>
                <w:sz w:val="20"/>
                <w:szCs w:val="20"/>
              </w:rPr>
            </w:pPr>
            <w:r>
              <w:rPr>
                <w:rFonts w:cstheme="minorHAnsi"/>
                <w:sz w:val="20"/>
                <w:szCs w:val="20"/>
              </w:rPr>
              <w:t>(c) Before engaging project workers. Maintained throughout Project preparation.</w:t>
            </w:r>
          </w:p>
        </w:tc>
        <w:tc>
          <w:tcPr>
            <w:tcW w:w="1530" w:type="dxa"/>
          </w:tcPr>
          <w:p w:rsidR="004D3232" w:rsidRPr="00FA0A88" w:rsidRDefault="004D3232" w:rsidP="005D394E">
            <w:pPr>
              <w:keepLines/>
              <w:widowControl w:val="0"/>
              <w:rPr>
                <w:rFonts w:cstheme="minorHAnsi"/>
                <w:sz w:val="20"/>
                <w:szCs w:val="20"/>
              </w:rPr>
            </w:pPr>
            <w:r>
              <w:rPr>
                <w:rFonts w:cstheme="minorHAnsi"/>
                <w:sz w:val="20"/>
                <w:szCs w:val="20"/>
              </w:rPr>
              <w:t>AFAP</w:t>
            </w:r>
          </w:p>
        </w:tc>
      </w:tr>
      <w:tr w:rsidR="00860672" w:rsidRPr="00FA0A88" w:rsidTr="00147CE5">
        <w:trPr>
          <w:cantSplit/>
          <w:trHeight w:val="20"/>
        </w:trPr>
        <w:tc>
          <w:tcPr>
            <w:tcW w:w="585" w:type="dxa"/>
          </w:tcPr>
          <w:p w:rsidR="004D3232" w:rsidRPr="00FA0A88" w:rsidRDefault="004D3232" w:rsidP="00DB1C3B">
            <w:pPr>
              <w:keepLines/>
              <w:widowControl w:val="0"/>
              <w:jc w:val="center"/>
              <w:rPr>
                <w:rFonts w:cstheme="minorHAnsi"/>
                <w:sz w:val="20"/>
                <w:szCs w:val="20"/>
              </w:rPr>
            </w:pPr>
            <w:r>
              <w:rPr>
                <w:rFonts w:cstheme="minorHAnsi"/>
                <w:sz w:val="20"/>
                <w:szCs w:val="20"/>
              </w:rPr>
              <w:t>2.2</w:t>
            </w:r>
          </w:p>
        </w:tc>
        <w:tc>
          <w:tcPr>
            <w:tcW w:w="7960" w:type="dxa"/>
          </w:tcPr>
          <w:p w:rsidR="004D3232" w:rsidRPr="00DB1C3B" w:rsidRDefault="004D3232" w:rsidP="00783E3C">
            <w:pPr>
              <w:keepLines/>
              <w:widowControl w:val="0"/>
              <w:jc w:val="both"/>
              <w:rPr>
                <w:rFonts w:cstheme="minorHAnsi"/>
                <w:b/>
                <w:color w:val="5B9BD5" w:themeColor="accent5"/>
                <w:sz w:val="20"/>
                <w:szCs w:val="20"/>
              </w:rPr>
            </w:pPr>
            <w:r w:rsidRPr="00DB1C3B">
              <w:rPr>
                <w:rFonts w:cstheme="minorHAnsi"/>
                <w:b/>
                <w:color w:val="5B9BD5" w:themeColor="accent5"/>
                <w:sz w:val="20"/>
                <w:szCs w:val="20"/>
              </w:rPr>
              <w:t xml:space="preserve">GRIEVANCE MECHANISM FOR PROJECT WORKERS </w:t>
            </w:r>
          </w:p>
          <w:p w:rsidR="004D3232" w:rsidRPr="00FA0A88" w:rsidRDefault="004D3232" w:rsidP="00783E3C">
            <w:pPr>
              <w:keepLines/>
              <w:widowControl w:val="0"/>
              <w:jc w:val="both"/>
              <w:rPr>
                <w:rFonts w:cstheme="minorHAnsi"/>
                <w:b/>
                <w:color w:val="5B9BD5" w:themeColor="accent5"/>
                <w:sz w:val="20"/>
                <w:szCs w:val="20"/>
              </w:rPr>
            </w:pPr>
            <w:r w:rsidRPr="0049275A">
              <w:rPr>
                <w:rFonts w:cstheme="minorHAnsi"/>
                <w:bCs/>
                <w:sz w:val="20"/>
                <w:szCs w:val="20"/>
              </w:rPr>
              <w:t xml:space="preserve">Establish, maintain, and operate a grievance mechanism for Project workers, and for workers hired/appointed for PPA activities, as described in the LMP and consistent with ESS2. </w:t>
            </w:r>
            <w:r w:rsidR="00064858" w:rsidRPr="00025541">
              <w:rPr>
                <w:rFonts w:cstheme="minorHAnsi"/>
                <w:bCs/>
                <w:sz w:val="20"/>
                <w:szCs w:val="20"/>
              </w:rPr>
              <w:t>This workers’ grievance mechanism should be sensitive to SEA/SH-related complaints and equipped to manage these complaints ethically and confidentially.</w:t>
            </w:r>
          </w:p>
        </w:tc>
        <w:tc>
          <w:tcPr>
            <w:tcW w:w="3960" w:type="dxa"/>
          </w:tcPr>
          <w:p w:rsidR="004D3232" w:rsidRPr="00860672" w:rsidRDefault="004D3232" w:rsidP="00DB1C3B">
            <w:pPr>
              <w:keepLines/>
              <w:widowControl w:val="0"/>
              <w:rPr>
                <w:rFonts w:cstheme="minorHAnsi"/>
                <w:sz w:val="20"/>
                <w:szCs w:val="20"/>
              </w:rPr>
            </w:pPr>
            <w:r w:rsidRPr="00860672">
              <w:rPr>
                <w:rFonts w:cstheme="minorHAnsi"/>
                <w:sz w:val="20"/>
                <w:szCs w:val="20"/>
              </w:rPr>
              <w:t>As part of the LMP</w:t>
            </w:r>
            <w:r w:rsidR="009A257F">
              <w:rPr>
                <w:rFonts w:cstheme="minorHAnsi"/>
                <w:sz w:val="20"/>
                <w:szCs w:val="20"/>
              </w:rPr>
              <w:t xml:space="preserve">. </w:t>
            </w:r>
            <w:r w:rsidRPr="00860672">
              <w:rPr>
                <w:rFonts w:cstheme="minorHAnsi"/>
                <w:sz w:val="20"/>
                <w:szCs w:val="20"/>
              </w:rPr>
              <w:t>The grievance mechanism shall be operational before the recruitment of workers for the PPA, and maintained throughout the implementation of the PPA.</w:t>
            </w:r>
          </w:p>
        </w:tc>
        <w:tc>
          <w:tcPr>
            <w:tcW w:w="1530" w:type="dxa"/>
          </w:tcPr>
          <w:p w:rsidR="004D3232" w:rsidRDefault="004D3232" w:rsidP="00DB1C3B">
            <w:pPr>
              <w:keepLines/>
              <w:widowControl w:val="0"/>
              <w:rPr>
                <w:rFonts w:cstheme="minorHAnsi"/>
                <w:sz w:val="20"/>
                <w:szCs w:val="20"/>
              </w:rPr>
            </w:pPr>
            <w:r>
              <w:rPr>
                <w:rFonts w:cstheme="minorHAnsi"/>
                <w:sz w:val="20"/>
                <w:szCs w:val="20"/>
              </w:rPr>
              <w:t>AFAP</w:t>
            </w:r>
          </w:p>
        </w:tc>
      </w:tr>
      <w:tr w:rsidR="00860672" w:rsidRPr="00FA0A88" w:rsidTr="00147CE5">
        <w:trPr>
          <w:cantSplit/>
          <w:trHeight w:val="20"/>
        </w:trPr>
        <w:tc>
          <w:tcPr>
            <w:tcW w:w="585" w:type="dxa"/>
          </w:tcPr>
          <w:p w:rsidR="004D3232" w:rsidRPr="00FA0A88" w:rsidRDefault="004D3232" w:rsidP="00DB1C3B">
            <w:pPr>
              <w:keepLines/>
              <w:widowControl w:val="0"/>
              <w:jc w:val="center"/>
              <w:rPr>
                <w:rFonts w:cstheme="minorHAnsi"/>
                <w:sz w:val="20"/>
                <w:szCs w:val="20"/>
              </w:rPr>
            </w:pPr>
            <w:r>
              <w:rPr>
                <w:rFonts w:cstheme="minorHAnsi"/>
                <w:sz w:val="20"/>
                <w:szCs w:val="20"/>
              </w:rPr>
              <w:lastRenderedPageBreak/>
              <w:t>2.3</w:t>
            </w:r>
          </w:p>
        </w:tc>
        <w:tc>
          <w:tcPr>
            <w:tcW w:w="7960" w:type="dxa"/>
          </w:tcPr>
          <w:p w:rsidR="004D3232" w:rsidRPr="00DB1C3B" w:rsidRDefault="004D3232" w:rsidP="00970993">
            <w:pPr>
              <w:keepLines/>
              <w:widowControl w:val="0"/>
              <w:jc w:val="both"/>
              <w:rPr>
                <w:rFonts w:cstheme="minorHAnsi"/>
                <w:b/>
                <w:color w:val="5B9BD5" w:themeColor="accent5"/>
                <w:sz w:val="20"/>
                <w:szCs w:val="20"/>
              </w:rPr>
            </w:pPr>
            <w:r w:rsidRPr="00DB1C3B">
              <w:rPr>
                <w:rFonts w:cstheme="minorHAnsi"/>
                <w:b/>
                <w:color w:val="5B9BD5" w:themeColor="accent5"/>
                <w:sz w:val="20"/>
                <w:szCs w:val="20"/>
              </w:rPr>
              <w:t>OCCUPATIONAL HEALTH AND SAFETY (OHS) MEASURES</w:t>
            </w:r>
          </w:p>
          <w:p w:rsidR="004D3232" w:rsidRPr="0049275A" w:rsidRDefault="004D3232" w:rsidP="00970993">
            <w:pPr>
              <w:keepLines/>
              <w:widowControl w:val="0"/>
              <w:jc w:val="both"/>
              <w:rPr>
                <w:rFonts w:cstheme="minorHAnsi"/>
                <w:bCs/>
                <w:sz w:val="20"/>
                <w:szCs w:val="20"/>
              </w:rPr>
            </w:pPr>
            <w:r w:rsidRPr="0049275A">
              <w:rPr>
                <w:rFonts w:cstheme="minorHAnsi"/>
                <w:bCs/>
                <w:sz w:val="20"/>
                <w:szCs w:val="20"/>
              </w:rPr>
              <w:t>The Recipient shall develop, adopt, and implement occupational, health and safety (OHS) measures, including emergency preparedness and response measures for PPA workers, in line with applicable national legislation and ESS2, as part of the PPA LMP and as described in item 2.1.</w:t>
            </w:r>
          </w:p>
          <w:p w:rsidR="004D3232" w:rsidRPr="00DB1C3B" w:rsidRDefault="004D3232" w:rsidP="00970993">
            <w:pPr>
              <w:keepLines/>
              <w:widowControl w:val="0"/>
              <w:jc w:val="both"/>
              <w:rPr>
                <w:rFonts w:cstheme="minorHAnsi"/>
                <w:b/>
                <w:color w:val="5B9BD5" w:themeColor="accent5"/>
                <w:sz w:val="20"/>
                <w:szCs w:val="20"/>
              </w:rPr>
            </w:pPr>
            <w:r w:rsidRPr="0049275A">
              <w:rPr>
                <w:rFonts w:cstheme="minorHAnsi"/>
                <w:bCs/>
                <w:sz w:val="20"/>
                <w:szCs w:val="20"/>
              </w:rPr>
              <w:t>A COVID 19 protocol shall be prepared and implemented to ensure that all PPA activities minimize the spread of infections.</w:t>
            </w:r>
            <w:r w:rsidRPr="0049275A">
              <w:rPr>
                <w:rFonts w:cstheme="minorHAnsi"/>
                <w:bCs/>
                <w:sz w:val="20"/>
                <w:szCs w:val="20"/>
              </w:rPr>
              <w:tab/>
            </w:r>
          </w:p>
        </w:tc>
        <w:tc>
          <w:tcPr>
            <w:tcW w:w="3960" w:type="dxa"/>
          </w:tcPr>
          <w:p w:rsidR="004D3232" w:rsidRPr="00860672" w:rsidRDefault="004D3232" w:rsidP="00DB1C3B">
            <w:pPr>
              <w:keepLines/>
              <w:widowControl w:val="0"/>
              <w:rPr>
                <w:rFonts w:cstheme="minorHAnsi"/>
                <w:sz w:val="20"/>
                <w:szCs w:val="20"/>
              </w:rPr>
            </w:pPr>
            <w:r w:rsidRPr="00860672">
              <w:rPr>
                <w:rFonts w:cstheme="minorHAnsi"/>
                <w:sz w:val="20"/>
                <w:szCs w:val="20"/>
              </w:rPr>
              <w:t>Develop before commencement of PPA activities and within 30 days after Advance Agreement Effective Date and maintained throughout PPA implementation.</w:t>
            </w:r>
          </w:p>
        </w:tc>
        <w:tc>
          <w:tcPr>
            <w:tcW w:w="1530" w:type="dxa"/>
          </w:tcPr>
          <w:p w:rsidR="004D3232" w:rsidRDefault="004D3232" w:rsidP="00DB1C3B">
            <w:pPr>
              <w:keepLines/>
              <w:widowControl w:val="0"/>
              <w:rPr>
                <w:rFonts w:cstheme="minorHAnsi"/>
                <w:sz w:val="20"/>
                <w:szCs w:val="20"/>
              </w:rPr>
            </w:pPr>
            <w:r>
              <w:rPr>
                <w:rFonts w:cstheme="minorHAnsi"/>
                <w:sz w:val="20"/>
                <w:szCs w:val="20"/>
              </w:rPr>
              <w:t>AFAP</w:t>
            </w:r>
          </w:p>
        </w:tc>
      </w:tr>
      <w:tr w:rsidR="004D3232" w:rsidRPr="00FA0A88" w:rsidTr="00147CE5">
        <w:trPr>
          <w:cantSplit/>
          <w:trHeight w:val="20"/>
        </w:trPr>
        <w:tc>
          <w:tcPr>
            <w:tcW w:w="14035" w:type="dxa"/>
            <w:gridSpan w:val="4"/>
            <w:shd w:val="clear" w:color="auto" w:fill="F4B083" w:themeFill="accent2" w:themeFillTint="99"/>
          </w:tcPr>
          <w:p w:rsidR="004D3232" w:rsidRDefault="004D3232" w:rsidP="00F968EA">
            <w:pPr>
              <w:keepLines/>
              <w:widowControl w:val="0"/>
              <w:rPr>
                <w:rFonts w:cstheme="minorHAnsi"/>
                <w:b/>
                <w:sz w:val="20"/>
                <w:szCs w:val="20"/>
              </w:rPr>
            </w:pPr>
            <w:r w:rsidRPr="00FA0A88">
              <w:rPr>
                <w:rFonts w:cstheme="minorHAnsi"/>
                <w:b/>
                <w:sz w:val="20"/>
                <w:szCs w:val="20"/>
              </w:rPr>
              <w:t xml:space="preserve">ESS 3:  RESOURCE EFFICIENCY AND POLLUTION PREVENTION AND MANAGEMENT </w:t>
            </w:r>
          </w:p>
        </w:tc>
      </w:tr>
      <w:tr w:rsidR="00860672" w:rsidRPr="00FA0A88" w:rsidTr="00147CE5">
        <w:trPr>
          <w:cantSplit/>
          <w:trHeight w:val="242"/>
        </w:trPr>
        <w:tc>
          <w:tcPr>
            <w:tcW w:w="585" w:type="dxa"/>
          </w:tcPr>
          <w:p w:rsidR="004D3232" w:rsidRPr="00FA0A88" w:rsidRDefault="004D3232" w:rsidP="00F968EA">
            <w:pPr>
              <w:keepLines/>
              <w:widowControl w:val="0"/>
              <w:jc w:val="center"/>
              <w:rPr>
                <w:rFonts w:cstheme="minorHAnsi"/>
                <w:sz w:val="20"/>
                <w:szCs w:val="20"/>
              </w:rPr>
            </w:pPr>
            <w:r w:rsidRPr="00FA0A88">
              <w:rPr>
                <w:rFonts w:cstheme="minorHAnsi"/>
                <w:sz w:val="20"/>
                <w:szCs w:val="20"/>
              </w:rPr>
              <w:t>3.1</w:t>
            </w:r>
          </w:p>
        </w:tc>
        <w:tc>
          <w:tcPr>
            <w:tcW w:w="7960" w:type="dxa"/>
          </w:tcPr>
          <w:p w:rsidR="004D3232" w:rsidRPr="00860672" w:rsidRDefault="004D3232" w:rsidP="1F3F2633">
            <w:pPr>
              <w:keepLines/>
              <w:widowControl w:val="0"/>
              <w:rPr>
                <w:rFonts w:cstheme="minorHAnsi"/>
                <w:sz w:val="20"/>
                <w:szCs w:val="20"/>
              </w:rPr>
            </w:pPr>
            <w:r w:rsidRPr="00860672">
              <w:rPr>
                <w:rFonts w:cstheme="minorHAnsi"/>
                <w:sz w:val="20"/>
                <w:szCs w:val="20"/>
              </w:rPr>
              <w:t xml:space="preserve">The requirements of the ESS3 will be taken into account as relevant as part of the action 1.2 above. </w:t>
            </w:r>
          </w:p>
        </w:tc>
        <w:tc>
          <w:tcPr>
            <w:tcW w:w="3960" w:type="dxa"/>
          </w:tcPr>
          <w:p w:rsidR="004D3232" w:rsidRPr="00860672" w:rsidRDefault="004D3232" w:rsidP="00F968EA">
            <w:pPr>
              <w:keepLines/>
              <w:widowControl w:val="0"/>
              <w:rPr>
                <w:rFonts w:cstheme="minorHAnsi"/>
                <w:sz w:val="20"/>
                <w:szCs w:val="20"/>
              </w:rPr>
            </w:pPr>
            <w:r w:rsidRPr="00860672">
              <w:rPr>
                <w:rFonts w:cstheme="minorHAnsi"/>
                <w:sz w:val="20"/>
                <w:szCs w:val="20"/>
              </w:rPr>
              <w:t>Not applicable.</w:t>
            </w:r>
          </w:p>
        </w:tc>
        <w:tc>
          <w:tcPr>
            <w:tcW w:w="1530" w:type="dxa"/>
          </w:tcPr>
          <w:p w:rsidR="004D3232" w:rsidRPr="00FA0A88" w:rsidRDefault="000B4B7D" w:rsidP="00F968EA">
            <w:pPr>
              <w:keepLines/>
              <w:widowControl w:val="0"/>
              <w:rPr>
                <w:rFonts w:cstheme="minorHAnsi"/>
                <w:sz w:val="20"/>
                <w:szCs w:val="20"/>
              </w:rPr>
            </w:pPr>
            <w:r>
              <w:rPr>
                <w:rFonts w:cstheme="minorHAnsi"/>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Default="004D3232" w:rsidP="00F968EA">
            <w:pPr>
              <w:keepLines/>
              <w:widowControl w:val="0"/>
              <w:rPr>
                <w:rFonts w:cstheme="minorHAnsi"/>
                <w:sz w:val="20"/>
                <w:szCs w:val="20"/>
              </w:rPr>
            </w:pPr>
            <w:r w:rsidRPr="00FA0A88">
              <w:rPr>
                <w:rFonts w:cstheme="minorHAnsi"/>
                <w:b/>
                <w:sz w:val="20"/>
                <w:szCs w:val="20"/>
              </w:rPr>
              <w:t xml:space="preserve">ESS 4:  COMMUNITY HEALTH AND SAFETY </w:t>
            </w:r>
          </w:p>
        </w:tc>
      </w:tr>
      <w:tr w:rsidR="00860672" w:rsidRPr="00FA0A88" w:rsidTr="00147CE5">
        <w:trPr>
          <w:cantSplit/>
          <w:trHeight w:val="20"/>
        </w:trPr>
        <w:tc>
          <w:tcPr>
            <w:tcW w:w="585" w:type="dxa"/>
          </w:tcPr>
          <w:p w:rsidR="004D3232" w:rsidRPr="00FA0A88" w:rsidRDefault="004D3232" w:rsidP="00F968EA">
            <w:pPr>
              <w:keepLines/>
              <w:widowControl w:val="0"/>
              <w:jc w:val="center"/>
              <w:rPr>
                <w:rFonts w:cstheme="minorHAnsi"/>
                <w:sz w:val="20"/>
                <w:szCs w:val="20"/>
              </w:rPr>
            </w:pPr>
            <w:r w:rsidRPr="00FA0A88">
              <w:rPr>
                <w:rFonts w:cstheme="minorHAnsi"/>
                <w:sz w:val="20"/>
                <w:szCs w:val="20"/>
              </w:rPr>
              <w:t>4.</w:t>
            </w:r>
            <w:r>
              <w:rPr>
                <w:rFonts w:cstheme="minorHAnsi"/>
                <w:sz w:val="20"/>
                <w:szCs w:val="20"/>
              </w:rPr>
              <w:t>1</w:t>
            </w:r>
          </w:p>
        </w:tc>
        <w:tc>
          <w:tcPr>
            <w:tcW w:w="7960" w:type="dxa"/>
          </w:tcPr>
          <w:p w:rsidR="004D3232" w:rsidRPr="00860672" w:rsidRDefault="004D3232" w:rsidP="5F88BE35">
            <w:pPr>
              <w:keepLines/>
              <w:widowControl w:val="0"/>
              <w:rPr>
                <w:rFonts w:cstheme="minorHAnsi"/>
                <w:sz w:val="20"/>
                <w:szCs w:val="20"/>
              </w:rPr>
            </w:pPr>
            <w:r w:rsidRPr="00860672">
              <w:rPr>
                <w:rFonts w:cstheme="minorHAnsi"/>
                <w:sz w:val="20"/>
                <w:szCs w:val="20"/>
              </w:rPr>
              <w:t>The requirements of the ESS4 will be taken into account as relevant as part of the action 1.2 above.</w:t>
            </w:r>
          </w:p>
        </w:tc>
        <w:tc>
          <w:tcPr>
            <w:tcW w:w="3960" w:type="dxa"/>
          </w:tcPr>
          <w:p w:rsidR="004D3232" w:rsidRPr="00860672" w:rsidRDefault="004D3232" w:rsidP="00F968EA">
            <w:pPr>
              <w:keepLines/>
              <w:widowControl w:val="0"/>
              <w:rPr>
                <w:rFonts w:cstheme="minorHAnsi"/>
                <w:sz w:val="20"/>
                <w:szCs w:val="20"/>
              </w:rPr>
            </w:pPr>
            <w:r w:rsidRPr="00860672">
              <w:rPr>
                <w:rFonts w:cstheme="minorHAnsi"/>
                <w:sz w:val="20"/>
                <w:szCs w:val="20"/>
              </w:rPr>
              <w:t>Not applicable.</w:t>
            </w:r>
          </w:p>
        </w:tc>
        <w:tc>
          <w:tcPr>
            <w:tcW w:w="1530" w:type="dxa"/>
          </w:tcPr>
          <w:p w:rsidR="004D3232" w:rsidRPr="00FA0A88" w:rsidRDefault="004D3232" w:rsidP="00F968EA">
            <w:pPr>
              <w:keepLines/>
              <w:widowControl w:val="0"/>
              <w:rPr>
                <w:rFonts w:cstheme="minorHAnsi"/>
                <w:sz w:val="20"/>
                <w:szCs w:val="20"/>
              </w:rPr>
            </w:pPr>
            <w:r w:rsidRPr="00970993">
              <w:rPr>
                <w:rFonts w:cstheme="minorHAnsi"/>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F968EA">
            <w:pPr>
              <w:keepLines/>
              <w:widowControl w:val="0"/>
              <w:rPr>
                <w:rFonts w:cstheme="minorHAnsi"/>
                <w:b/>
                <w:sz w:val="20"/>
                <w:szCs w:val="20"/>
              </w:rPr>
            </w:pPr>
            <w:r w:rsidRPr="00FA0A88">
              <w:rPr>
                <w:rFonts w:cstheme="minorHAnsi"/>
                <w:b/>
                <w:sz w:val="20"/>
                <w:szCs w:val="20"/>
              </w:rPr>
              <w:t xml:space="preserve">ESS 5:  LAND ACQUISITION, RESTRICTIONS ON LAND USE AND INVOLUNTARY RESETTLEMENT </w:t>
            </w:r>
          </w:p>
        </w:tc>
      </w:tr>
      <w:tr w:rsidR="00860672" w:rsidRPr="00FA0A88" w:rsidTr="00147CE5">
        <w:trPr>
          <w:cantSplit/>
          <w:trHeight w:val="20"/>
        </w:trPr>
        <w:tc>
          <w:tcPr>
            <w:tcW w:w="585" w:type="dxa"/>
          </w:tcPr>
          <w:p w:rsidR="004D3232" w:rsidRPr="00FA0A88" w:rsidRDefault="004D3232" w:rsidP="003B05CB">
            <w:pPr>
              <w:keepLines/>
              <w:widowControl w:val="0"/>
              <w:jc w:val="center"/>
              <w:rPr>
                <w:rFonts w:cstheme="minorHAnsi"/>
                <w:sz w:val="20"/>
                <w:szCs w:val="20"/>
              </w:rPr>
            </w:pPr>
            <w:r w:rsidRPr="00FA0A88">
              <w:rPr>
                <w:rFonts w:cstheme="minorHAnsi"/>
                <w:sz w:val="20"/>
                <w:szCs w:val="20"/>
              </w:rPr>
              <w:t>5.1</w:t>
            </w:r>
          </w:p>
        </w:tc>
        <w:tc>
          <w:tcPr>
            <w:tcW w:w="7960" w:type="dxa"/>
          </w:tcPr>
          <w:p w:rsidR="004D3232" w:rsidRPr="00860672" w:rsidRDefault="004D3232" w:rsidP="5F88BE35">
            <w:pPr>
              <w:keepLines/>
              <w:widowControl w:val="0"/>
              <w:rPr>
                <w:rFonts w:cstheme="minorHAnsi"/>
                <w:bCs/>
                <w:sz w:val="20"/>
                <w:szCs w:val="20"/>
              </w:rPr>
            </w:pPr>
            <w:r w:rsidRPr="00860672">
              <w:rPr>
                <w:rFonts w:cstheme="minorHAnsi"/>
                <w:bCs/>
                <w:sz w:val="20"/>
                <w:szCs w:val="20"/>
              </w:rPr>
              <w:t>The requirements of the ESS5 will be taken into account as relevant as part of the action 1.2 above.</w:t>
            </w:r>
          </w:p>
        </w:tc>
        <w:tc>
          <w:tcPr>
            <w:tcW w:w="3960" w:type="dxa"/>
          </w:tcPr>
          <w:p w:rsidR="004D3232" w:rsidRPr="008C6B69" w:rsidRDefault="004D3232" w:rsidP="003B05CB">
            <w:pPr>
              <w:keepLines/>
              <w:widowControl w:val="0"/>
              <w:rPr>
                <w:rFonts w:cstheme="minorHAnsi"/>
                <w:iCs/>
                <w:sz w:val="20"/>
                <w:szCs w:val="20"/>
                <w:u w:val="single"/>
              </w:rPr>
            </w:pPr>
            <w:r w:rsidRPr="00970993">
              <w:rPr>
                <w:rFonts w:cstheme="minorHAnsi"/>
                <w:iCs/>
                <w:sz w:val="20"/>
                <w:szCs w:val="20"/>
              </w:rPr>
              <w:t>Not applicable.</w:t>
            </w:r>
          </w:p>
        </w:tc>
        <w:tc>
          <w:tcPr>
            <w:tcW w:w="1530" w:type="dxa"/>
          </w:tcPr>
          <w:p w:rsidR="004D3232" w:rsidRPr="008C6B69" w:rsidRDefault="004D3232" w:rsidP="003B05CB">
            <w:pPr>
              <w:keepLines/>
              <w:widowControl w:val="0"/>
              <w:rPr>
                <w:rFonts w:cstheme="minorHAnsi"/>
                <w:iCs/>
                <w:sz w:val="20"/>
                <w:szCs w:val="20"/>
              </w:rPr>
            </w:pPr>
            <w:r w:rsidRPr="00970993">
              <w:rPr>
                <w:rFonts w:cstheme="minorHAnsi"/>
                <w:iCs/>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3B05CB">
            <w:pPr>
              <w:keepLines/>
              <w:widowControl w:val="0"/>
              <w:rPr>
                <w:rFonts w:cstheme="minorHAnsi"/>
                <w:b/>
                <w:sz w:val="20"/>
                <w:szCs w:val="20"/>
              </w:rPr>
            </w:pPr>
            <w:r w:rsidRPr="00FA0A88">
              <w:rPr>
                <w:rFonts w:cstheme="minorHAnsi"/>
                <w:b/>
                <w:sz w:val="20"/>
                <w:szCs w:val="20"/>
              </w:rPr>
              <w:t xml:space="preserve">ESS 6:  BIODIVERSITY CONSERVATION AND SUSTAINABLE MANAGEMENT OF LIVING NATURAL RESOURCES </w:t>
            </w:r>
          </w:p>
        </w:tc>
      </w:tr>
      <w:tr w:rsidR="00860672" w:rsidRPr="00FA0A88" w:rsidTr="00147CE5">
        <w:trPr>
          <w:cantSplit/>
          <w:trHeight w:val="20"/>
        </w:trPr>
        <w:tc>
          <w:tcPr>
            <w:tcW w:w="585" w:type="dxa"/>
          </w:tcPr>
          <w:p w:rsidR="004D3232" w:rsidRPr="00FA0A88" w:rsidRDefault="004D3232" w:rsidP="003B05CB">
            <w:pPr>
              <w:pStyle w:val="Normal-PRsubhead"/>
            </w:pPr>
            <w:r w:rsidRPr="00FA0A88">
              <w:t>6.1</w:t>
            </w:r>
          </w:p>
        </w:tc>
        <w:tc>
          <w:tcPr>
            <w:tcW w:w="7960" w:type="dxa"/>
          </w:tcPr>
          <w:p w:rsidR="004D3232" w:rsidRPr="00860672" w:rsidRDefault="004D3232" w:rsidP="00860672">
            <w:pPr>
              <w:keepLines/>
              <w:widowControl w:val="0"/>
              <w:rPr>
                <w:rFonts w:cstheme="minorHAnsi"/>
                <w:bCs/>
                <w:sz w:val="20"/>
                <w:szCs w:val="20"/>
              </w:rPr>
            </w:pPr>
            <w:r w:rsidRPr="00860672">
              <w:rPr>
                <w:rFonts w:cstheme="minorHAnsi"/>
                <w:bCs/>
                <w:sz w:val="20"/>
                <w:szCs w:val="20"/>
              </w:rPr>
              <w:t>The requirements of the ESS6 will be taken into account as relevant as part of the action 1.2 above.</w:t>
            </w:r>
          </w:p>
        </w:tc>
        <w:tc>
          <w:tcPr>
            <w:tcW w:w="3960" w:type="dxa"/>
          </w:tcPr>
          <w:p w:rsidR="004D3232" w:rsidRPr="008C6B69" w:rsidRDefault="004D3232" w:rsidP="003B05CB">
            <w:pPr>
              <w:pStyle w:val="Normal-PRsubhead"/>
              <w:rPr>
                <w:iCs/>
              </w:rPr>
            </w:pPr>
            <w:r w:rsidRPr="00970993">
              <w:rPr>
                <w:iCs/>
              </w:rPr>
              <w:t>Not applicable.</w:t>
            </w:r>
          </w:p>
        </w:tc>
        <w:tc>
          <w:tcPr>
            <w:tcW w:w="1530" w:type="dxa"/>
          </w:tcPr>
          <w:p w:rsidR="004D3232" w:rsidRPr="008C6B69" w:rsidRDefault="004D3232" w:rsidP="003B05CB">
            <w:pPr>
              <w:keepLines/>
              <w:widowControl w:val="0"/>
              <w:rPr>
                <w:rFonts w:cstheme="minorHAnsi"/>
                <w:iCs/>
                <w:sz w:val="20"/>
                <w:szCs w:val="20"/>
              </w:rPr>
            </w:pPr>
            <w:r w:rsidRPr="00970993">
              <w:rPr>
                <w:rFonts w:cstheme="minorHAnsi"/>
                <w:iCs/>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3B05CB">
            <w:pPr>
              <w:keepLines/>
              <w:widowControl w:val="0"/>
              <w:rPr>
                <w:rFonts w:cstheme="minorHAnsi"/>
                <w:b/>
                <w:sz w:val="20"/>
                <w:szCs w:val="20"/>
              </w:rPr>
            </w:pPr>
            <w:r w:rsidRPr="00FA0A88">
              <w:rPr>
                <w:rFonts w:cstheme="minorHAnsi"/>
                <w:b/>
                <w:sz w:val="20"/>
                <w:szCs w:val="20"/>
              </w:rPr>
              <w:t xml:space="preserve">ESS 7: INDIGENOUS PEOPLES/SUB-SAHARAN AFRICAN HISTORICALLY UNDERSERVED TRADITIONAL LOCAL COMMUNITIES </w:t>
            </w:r>
          </w:p>
        </w:tc>
      </w:tr>
      <w:tr w:rsidR="00860672" w:rsidRPr="00FA0A88" w:rsidTr="00147CE5">
        <w:trPr>
          <w:cantSplit/>
          <w:trHeight w:val="20"/>
        </w:trPr>
        <w:tc>
          <w:tcPr>
            <w:tcW w:w="585" w:type="dxa"/>
          </w:tcPr>
          <w:p w:rsidR="004D3232" w:rsidRPr="00FA0A88" w:rsidRDefault="004D3232" w:rsidP="00F968EA">
            <w:pPr>
              <w:pStyle w:val="Normal-PRsubhead"/>
            </w:pPr>
            <w:r w:rsidRPr="00FA0A88">
              <w:t>7.1</w:t>
            </w:r>
          </w:p>
        </w:tc>
        <w:tc>
          <w:tcPr>
            <w:tcW w:w="7960" w:type="dxa"/>
          </w:tcPr>
          <w:p w:rsidR="004D3232" w:rsidRPr="00860672" w:rsidRDefault="004D3232" w:rsidP="00052EDC">
            <w:pPr>
              <w:keepLines/>
              <w:widowControl w:val="0"/>
              <w:rPr>
                <w:rFonts w:cstheme="minorHAnsi"/>
                <w:bCs/>
                <w:sz w:val="20"/>
                <w:szCs w:val="20"/>
              </w:rPr>
            </w:pPr>
            <w:r w:rsidRPr="00860672">
              <w:rPr>
                <w:rFonts w:cstheme="minorHAnsi"/>
                <w:bCs/>
                <w:sz w:val="20"/>
                <w:szCs w:val="20"/>
              </w:rPr>
              <w:t>This standard is not relevant currently as there are no distinct social and cultural groups have been identified in accordance with ESS7 and in the national context in the project area.</w:t>
            </w:r>
          </w:p>
        </w:tc>
        <w:tc>
          <w:tcPr>
            <w:tcW w:w="3960" w:type="dxa"/>
          </w:tcPr>
          <w:p w:rsidR="004D3232" w:rsidRPr="008C6B69" w:rsidRDefault="004D3232" w:rsidP="00F968EA">
            <w:pPr>
              <w:keepLines/>
              <w:widowControl w:val="0"/>
              <w:rPr>
                <w:rFonts w:cstheme="minorHAnsi"/>
                <w:iCs/>
                <w:sz w:val="20"/>
                <w:szCs w:val="20"/>
              </w:rPr>
            </w:pPr>
            <w:r w:rsidRPr="00970993">
              <w:rPr>
                <w:rFonts w:cstheme="minorHAnsi"/>
                <w:iCs/>
                <w:sz w:val="20"/>
                <w:szCs w:val="20"/>
              </w:rPr>
              <w:t>Not applicable.</w:t>
            </w:r>
          </w:p>
        </w:tc>
        <w:tc>
          <w:tcPr>
            <w:tcW w:w="1530" w:type="dxa"/>
          </w:tcPr>
          <w:p w:rsidR="004D3232" w:rsidRPr="00970993" w:rsidRDefault="004D3232" w:rsidP="00F968EA">
            <w:pPr>
              <w:keepLines/>
              <w:widowControl w:val="0"/>
              <w:rPr>
                <w:rFonts w:cstheme="minorHAnsi"/>
                <w:iCs/>
                <w:sz w:val="20"/>
                <w:szCs w:val="20"/>
              </w:rPr>
            </w:pPr>
            <w:r w:rsidRPr="00970993">
              <w:rPr>
                <w:rFonts w:cstheme="minorHAnsi"/>
                <w:iCs/>
                <w:sz w:val="20"/>
                <w:szCs w:val="20"/>
              </w:rPr>
              <w:t>Not applicable.</w:t>
            </w:r>
          </w:p>
          <w:p w:rsidR="004D3232" w:rsidRPr="008C6B69" w:rsidRDefault="004D3232" w:rsidP="00F968EA">
            <w:pPr>
              <w:keepLines/>
              <w:widowControl w:val="0"/>
              <w:rPr>
                <w:rFonts w:cstheme="minorHAnsi"/>
                <w:iCs/>
                <w:sz w:val="20"/>
                <w:szCs w:val="20"/>
              </w:rPr>
            </w:pP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862718">
            <w:pPr>
              <w:keepNext/>
              <w:keepLines/>
              <w:widowControl w:val="0"/>
              <w:rPr>
                <w:rFonts w:cstheme="minorHAnsi"/>
                <w:b/>
                <w:sz w:val="20"/>
                <w:szCs w:val="20"/>
              </w:rPr>
            </w:pPr>
            <w:r w:rsidRPr="00FA0A88">
              <w:rPr>
                <w:rFonts w:cstheme="minorHAnsi"/>
                <w:b/>
                <w:sz w:val="20"/>
                <w:szCs w:val="20"/>
              </w:rPr>
              <w:t xml:space="preserve">ESS 8: CULTURAL HERITAGE </w:t>
            </w:r>
          </w:p>
        </w:tc>
      </w:tr>
      <w:tr w:rsidR="005E48F9" w:rsidRPr="00FA0A88" w:rsidTr="00147CE5">
        <w:trPr>
          <w:cantSplit/>
          <w:trHeight w:val="20"/>
        </w:trPr>
        <w:tc>
          <w:tcPr>
            <w:tcW w:w="585" w:type="dxa"/>
          </w:tcPr>
          <w:p w:rsidR="005E48F9" w:rsidRPr="00FA0A88" w:rsidRDefault="005E48F9" w:rsidP="005E48F9">
            <w:pPr>
              <w:pStyle w:val="Normal-PRsubhead"/>
              <w:rPr>
                <w:b/>
              </w:rPr>
            </w:pPr>
            <w:r w:rsidRPr="00FA0A88">
              <w:t>8.1</w:t>
            </w:r>
          </w:p>
        </w:tc>
        <w:tc>
          <w:tcPr>
            <w:tcW w:w="7960" w:type="dxa"/>
          </w:tcPr>
          <w:p w:rsidR="005E48F9" w:rsidRPr="00860672" w:rsidRDefault="005E48F9" w:rsidP="005E48F9">
            <w:pPr>
              <w:keepLines/>
              <w:widowControl w:val="0"/>
              <w:rPr>
                <w:rFonts w:cstheme="minorHAnsi"/>
                <w:bCs/>
                <w:sz w:val="20"/>
                <w:szCs w:val="20"/>
              </w:rPr>
            </w:pPr>
            <w:r w:rsidRPr="00860672">
              <w:rPr>
                <w:rFonts w:cstheme="minorHAnsi"/>
                <w:bCs/>
                <w:sz w:val="20"/>
                <w:szCs w:val="20"/>
              </w:rPr>
              <w:t>The requirements of the ESS8 will be taken into account as relevant as part of the action 1.2 above.</w:t>
            </w:r>
          </w:p>
        </w:tc>
        <w:tc>
          <w:tcPr>
            <w:tcW w:w="3960" w:type="dxa"/>
          </w:tcPr>
          <w:p w:rsidR="005E48F9" w:rsidRPr="00A16B16" w:rsidRDefault="005E48F9" w:rsidP="005E48F9">
            <w:pPr>
              <w:rPr>
                <w:i/>
                <w:iCs/>
                <w:sz w:val="20"/>
                <w:szCs w:val="20"/>
                <w:lang w:val="en-GB"/>
              </w:rPr>
            </w:pPr>
            <w:r w:rsidRPr="007D2FC5">
              <w:rPr>
                <w:rFonts w:cstheme="minorHAnsi"/>
                <w:iCs/>
                <w:sz w:val="20"/>
                <w:szCs w:val="20"/>
              </w:rPr>
              <w:t>Not applicable.</w:t>
            </w:r>
          </w:p>
        </w:tc>
        <w:tc>
          <w:tcPr>
            <w:tcW w:w="1530" w:type="dxa"/>
          </w:tcPr>
          <w:p w:rsidR="005E48F9" w:rsidRPr="00FA0A88" w:rsidRDefault="005E48F9" w:rsidP="005E48F9">
            <w:pPr>
              <w:keepLines/>
              <w:widowControl w:val="0"/>
              <w:rPr>
                <w:i/>
                <w:iCs/>
                <w:sz w:val="20"/>
                <w:szCs w:val="20"/>
              </w:rPr>
            </w:pPr>
            <w:r w:rsidRPr="007D2FC5">
              <w:rPr>
                <w:rFonts w:cstheme="minorHAnsi"/>
                <w:iCs/>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F968EA">
            <w:pPr>
              <w:keepLines/>
              <w:widowControl w:val="0"/>
              <w:rPr>
                <w:rFonts w:cstheme="minorHAnsi"/>
                <w:sz w:val="20"/>
                <w:szCs w:val="20"/>
              </w:rPr>
            </w:pPr>
            <w:r w:rsidRPr="00FA0A88">
              <w:rPr>
                <w:rFonts w:cstheme="minorHAnsi"/>
                <w:b/>
                <w:sz w:val="20"/>
                <w:szCs w:val="20"/>
              </w:rPr>
              <w:t xml:space="preserve">ESS 9: FINANCIAL INTERMEDIARIES </w:t>
            </w:r>
          </w:p>
        </w:tc>
      </w:tr>
      <w:tr w:rsidR="00860672" w:rsidRPr="00FA0A88" w:rsidTr="00147CE5">
        <w:trPr>
          <w:cantSplit/>
          <w:trHeight w:val="20"/>
        </w:trPr>
        <w:tc>
          <w:tcPr>
            <w:tcW w:w="585" w:type="dxa"/>
          </w:tcPr>
          <w:p w:rsidR="004D3232" w:rsidRPr="00FA0A88" w:rsidRDefault="004D3232" w:rsidP="00F968EA">
            <w:pPr>
              <w:pStyle w:val="Normal-PRsubhead"/>
            </w:pPr>
            <w:r w:rsidRPr="00FA0A88">
              <w:t>9.1</w:t>
            </w:r>
          </w:p>
        </w:tc>
        <w:tc>
          <w:tcPr>
            <w:tcW w:w="7960" w:type="dxa"/>
          </w:tcPr>
          <w:p w:rsidR="004D3232" w:rsidRPr="00860672" w:rsidRDefault="004D3232" w:rsidP="00860672">
            <w:pPr>
              <w:keepLines/>
              <w:widowControl w:val="0"/>
              <w:rPr>
                <w:bCs/>
              </w:rPr>
            </w:pPr>
            <w:r w:rsidRPr="00860672">
              <w:rPr>
                <w:rFonts w:cstheme="minorHAnsi"/>
                <w:bCs/>
                <w:sz w:val="20"/>
                <w:szCs w:val="20"/>
              </w:rPr>
              <w:t>This standard is not relevant currently as there are no actions under the PPA related to Financial Intermediaries, therefore there are no mitigation measures to be undertaken under ESS9.</w:t>
            </w:r>
          </w:p>
        </w:tc>
        <w:tc>
          <w:tcPr>
            <w:tcW w:w="3960" w:type="dxa"/>
          </w:tcPr>
          <w:p w:rsidR="004D3232" w:rsidRPr="008C6B69" w:rsidRDefault="004D3232" w:rsidP="00F968EA">
            <w:pPr>
              <w:keepLines/>
              <w:widowControl w:val="0"/>
              <w:rPr>
                <w:rFonts w:cstheme="minorHAnsi"/>
                <w:iCs/>
                <w:sz w:val="20"/>
                <w:szCs w:val="20"/>
              </w:rPr>
            </w:pPr>
            <w:r w:rsidRPr="00970993">
              <w:rPr>
                <w:rFonts w:cstheme="minorHAnsi"/>
                <w:iCs/>
                <w:sz w:val="20"/>
                <w:szCs w:val="20"/>
              </w:rPr>
              <w:t>Not applicable.</w:t>
            </w:r>
          </w:p>
        </w:tc>
        <w:tc>
          <w:tcPr>
            <w:tcW w:w="1530" w:type="dxa"/>
          </w:tcPr>
          <w:p w:rsidR="004D3232" w:rsidRPr="008C6B69" w:rsidRDefault="004D3232" w:rsidP="00F968EA">
            <w:pPr>
              <w:keepLines/>
              <w:widowControl w:val="0"/>
              <w:rPr>
                <w:rFonts w:cstheme="minorHAnsi"/>
                <w:iCs/>
                <w:sz w:val="20"/>
                <w:szCs w:val="20"/>
              </w:rPr>
            </w:pPr>
            <w:r w:rsidRPr="00970993">
              <w:rPr>
                <w:rFonts w:cstheme="minorHAnsi"/>
                <w:iCs/>
                <w:sz w:val="20"/>
                <w:szCs w:val="20"/>
              </w:rPr>
              <w:t>Not applicable.</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D3232" w:rsidP="00F968EA">
            <w:pPr>
              <w:keepLines/>
              <w:widowControl w:val="0"/>
              <w:rPr>
                <w:rFonts w:cstheme="minorHAnsi"/>
                <w:sz w:val="20"/>
                <w:szCs w:val="20"/>
              </w:rPr>
            </w:pPr>
            <w:r w:rsidRPr="00FA0A88">
              <w:rPr>
                <w:rFonts w:cstheme="minorHAnsi"/>
                <w:b/>
                <w:sz w:val="20"/>
                <w:szCs w:val="20"/>
              </w:rPr>
              <w:t>ESS 10: STAKEHOLDER ENGAGEMENT AND INFORMATION DISCLOSURE</w:t>
            </w:r>
          </w:p>
        </w:tc>
      </w:tr>
      <w:tr w:rsidR="00860672" w:rsidRPr="00FA0A88" w:rsidTr="00147CE5">
        <w:trPr>
          <w:cantSplit/>
          <w:trHeight w:val="20"/>
        </w:trPr>
        <w:tc>
          <w:tcPr>
            <w:tcW w:w="585" w:type="dxa"/>
          </w:tcPr>
          <w:p w:rsidR="004D3232" w:rsidRPr="00FA0A88" w:rsidRDefault="004D3232" w:rsidP="00F968EA">
            <w:pPr>
              <w:pStyle w:val="Normal-PRsubhead"/>
              <w:rPr>
                <w:b/>
              </w:rPr>
            </w:pPr>
            <w:r w:rsidRPr="00FA0A88">
              <w:lastRenderedPageBreak/>
              <w:t>10.1</w:t>
            </w:r>
          </w:p>
        </w:tc>
        <w:tc>
          <w:tcPr>
            <w:tcW w:w="7960" w:type="dxa"/>
          </w:tcPr>
          <w:p w:rsidR="004D3232" w:rsidRPr="00860672" w:rsidRDefault="004D3232" w:rsidP="00860672">
            <w:pPr>
              <w:keepLines/>
              <w:widowControl w:val="0"/>
              <w:rPr>
                <w:rFonts w:cstheme="minorHAnsi"/>
                <w:b/>
                <w:color w:val="5B9BD5" w:themeColor="accent5"/>
              </w:rPr>
            </w:pPr>
            <w:r w:rsidRPr="00860672">
              <w:rPr>
                <w:rFonts w:cstheme="minorHAnsi"/>
                <w:b/>
                <w:color w:val="5B9BD5" w:themeColor="accent5"/>
                <w:sz w:val="20"/>
                <w:szCs w:val="20"/>
              </w:rPr>
              <w:t>STAKEHOLDER ENGAGEMENT PLAN PREPARATION AND IMPLEMENTATION</w:t>
            </w:r>
          </w:p>
          <w:p w:rsidR="004D3232" w:rsidRPr="0049275A" w:rsidRDefault="0009295B" w:rsidP="0049275A">
            <w:pPr>
              <w:jc w:val="both"/>
              <w:rPr>
                <w:sz w:val="20"/>
                <w:szCs w:val="20"/>
                <w:lang w:val="en-GB"/>
              </w:rPr>
            </w:pPr>
            <w:r w:rsidRPr="00BA2D41">
              <w:rPr>
                <w:sz w:val="20"/>
                <w:szCs w:val="20"/>
                <w:lang w:val="en-GB"/>
              </w:rPr>
              <w:t>Prepare, consult upon, disclose and implement PPA’s Stakeholder Engagement Plan</w:t>
            </w:r>
            <w:r>
              <w:rPr>
                <w:sz w:val="20"/>
                <w:szCs w:val="20"/>
                <w:lang w:val="en-GB"/>
              </w:rPr>
              <w:t xml:space="preserve"> (SEP)</w:t>
            </w:r>
            <w:r w:rsidRPr="00BA2D41">
              <w:rPr>
                <w:sz w:val="20"/>
                <w:szCs w:val="20"/>
                <w:lang w:val="en-GB"/>
              </w:rPr>
              <w:t>.</w:t>
            </w:r>
            <w:r w:rsidRPr="0049275A">
              <w:rPr>
                <w:sz w:val="20"/>
                <w:szCs w:val="20"/>
                <w:lang w:val="en-GB"/>
              </w:rPr>
              <w:t xml:space="preserve">The SEP will include a </w:t>
            </w:r>
            <w:r w:rsidRPr="00153F80">
              <w:rPr>
                <w:sz w:val="20"/>
                <w:szCs w:val="20"/>
                <w:lang w:val="en-GB"/>
              </w:rPr>
              <w:t xml:space="preserve">GBV/SEA/SH-sensitive grievance mechanism </w:t>
            </w:r>
            <w:r w:rsidRPr="0049275A">
              <w:rPr>
                <w:sz w:val="20"/>
                <w:szCs w:val="20"/>
                <w:lang w:val="en-GB"/>
              </w:rPr>
              <w:t>to provide project-affected parties with accessible and inclusive means to raise issues and grievances</w:t>
            </w:r>
            <w:r>
              <w:rPr>
                <w:sz w:val="20"/>
                <w:szCs w:val="20"/>
                <w:lang w:val="en-GB"/>
              </w:rPr>
              <w:t xml:space="preserve">. </w:t>
            </w:r>
            <w:r w:rsidR="004D3232" w:rsidRPr="5F88BE35">
              <w:rPr>
                <w:sz w:val="20"/>
                <w:szCs w:val="20"/>
                <w:lang w:val="en-GB"/>
              </w:rPr>
              <w:t xml:space="preserve">Ensure that technical assistance activities carried out under the PPA incorporate stakeholder engagement and information disclosure in a manner consistent with the ESS10 including the preparation of a Stakeholder Engagement Plan for the Project. </w:t>
            </w:r>
            <w:r w:rsidR="004D3232" w:rsidRPr="0049275A">
              <w:rPr>
                <w:sz w:val="20"/>
                <w:szCs w:val="20"/>
                <w:lang w:val="en-GB"/>
              </w:rPr>
              <w:t>This SEP will guide the stakeholder engagement of the project during preparation and will be regularly updated to reflect new stakeholders identified and appropriate ways to consult them. The SEP will include a Grievance Mechanism to provide project-affected parties with accessible and inclusive means to raise issues and grievances</w:t>
            </w:r>
            <w:r w:rsidR="0049275A">
              <w:rPr>
                <w:sz w:val="20"/>
                <w:szCs w:val="20"/>
                <w:lang w:val="en-GB"/>
              </w:rPr>
              <w:t>.</w:t>
            </w:r>
          </w:p>
        </w:tc>
        <w:tc>
          <w:tcPr>
            <w:tcW w:w="3960" w:type="dxa"/>
          </w:tcPr>
          <w:p w:rsidR="004D3232" w:rsidRPr="00970993" w:rsidRDefault="005E48F9" w:rsidP="00F968EA">
            <w:pPr>
              <w:keepLines/>
              <w:widowControl w:val="0"/>
              <w:rPr>
                <w:rFonts w:cstheme="minorHAnsi"/>
                <w:iCs/>
                <w:sz w:val="20"/>
                <w:szCs w:val="20"/>
              </w:rPr>
            </w:pPr>
            <w:r>
              <w:rPr>
                <w:rFonts w:cstheme="minorHAnsi"/>
                <w:iCs/>
                <w:sz w:val="20"/>
                <w:szCs w:val="20"/>
              </w:rPr>
              <w:t xml:space="preserve">PPA’s SEP </w:t>
            </w:r>
            <w:r w:rsidR="009A18CD">
              <w:rPr>
                <w:rFonts w:cstheme="minorHAnsi"/>
                <w:iCs/>
                <w:sz w:val="20"/>
                <w:szCs w:val="20"/>
              </w:rPr>
              <w:t xml:space="preserve">finalized and disclosed by </w:t>
            </w:r>
            <w:r w:rsidR="0039348B" w:rsidRPr="00860672">
              <w:rPr>
                <w:rFonts w:cstheme="minorHAnsi"/>
                <w:sz w:val="20"/>
                <w:szCs w:val="20"/>
              </w:rPr>
              <w:t>Advance Agreement Effective Date and maintained throughout PPA implementation.</w:t>
            </w:r>
          </w:p>
        </w:tc>
        <w:tc>
          <w:tcPr>
            <w:tcW w:w="1530" w:type="dxa"/>
          </w:tcPr>
          <w:p w:rsidR="004D3232" w:rsidRPr="003D0F23" w:rsidRDefault="004D3232" w:rsidP="00F968EA">
            <w:pPr>
              <w:keepLines/>
              <w:widowControl w:val="0"/>
              <w:rPr>
                <w:rFonts w:cstheme="minorHAnsi"/>
                <w:iCs/>
                <w:sz w:val="20"/>
                <w:szCs w:val="20"/>
              </w:rPr>
            </w:pPr>
            <w:r w:rsidRPr="008C6B69">
              <w:rPr>
                <w:rFonts w:cstheme="minorHAnsi"/>
                <w:iCs/>
                <w:sz w:val="20"/>
                <w:szCs w:val="20"/>
              </w:rPr>
              <w:t>AFAP</w:t>
            </w:r>
          </w:p>
        </w:tc>
      </w:tr>
      <w:tr w:rsidR="00860672" w:rsidRPr="00FA0A88" w:rsidTr="00147CE5">
        <w:trPr>
          <w:cantSplit/>
          <w:trHeight w:val="20"/>
        </w:trPr>
        <w:tc>
          <w:tcPr>
            <w:tcW w:w="585" w:type="dxa"/>
          </w:tcPr>
          <w:p w:rsidR="004D3232" w:rsidRPr="00FA0A88" w:rsidRDefault="004D3232" w:rsidP="00F968EA">
            <w:pPr>
              <w:pStyle w:val="Normal-PRsubhead"/>
            </w:pPr>
            <w:r w:rsidRPr="00FA0A88">
              <w:t>10.2</w:t>
            </w:r>
          </w:p>
        </w:tc>
        <w:tc>
          <w:tcPr>
            <w:tcW w:w="7960" w:type="dxa"/>
          </w:tcPr>
          <w:p w:rsidR="000B4B7D" w:rsidRDefault="004D3232" w:rsidP="00052EDC">
            <w:r w:rsidRPr="00860672">
              <w:rPr>
                <w:rFonts w:cstheme="minorHAnsi"/>
                <w:b/>
                <w:color w:val="5B9BD5" w:themeColor="accent5"/>
                <w:sz w:val="20"/>
                <w:szCs w:val="20"/>
              </w:rPr>
              <w:t>PROJECT GRIEVANCE MECHANISM</w:t>
            </w:r>
            <w:r>
              <w:t>:</w:t>
            </w:r>
          </w:p>
          <w:p w:rsidR="004D3232" w:rsidRPr="00FA0A88" w:rsidRDefault="004D3232" w:rsidP="00860672">
            <w:pPr>
              <w:keepLines/>
              <w:widowControl w:val="0"/>
              <w:rPr>
                <w:rFonts w:ascii="Calibri" w:hAnsi="Calibri" w:cs="Calibri"/>
              </w:rPr>
            </w:pPr>
            <w:r w:rsidRPr="00860672">
              <w:rPr>
                <w:rFonts w:cstheme="minorHAnsi"/>
                <w:bCs/>
                <w:sz w:val="20"/>
                <w:szCs w:val="20"/>
              </w:rPr>
              <w:t xml:space="preserve">a) </w:t>
            </w:r>
            <w:r w:rsidR="00431E24" w:rsidRPr="00860672">
              <w:rPr>
                <w:rFonts w:cstheme="minorHAnsi"/>
                <w:bCs/>
                <w:sz w:val="20"/>
                <w:szCs w:val="20"/>
              </w:rPr>
              <w:t>Support the establishment, strengthening and operation of a grievance mechanism for the Project</w:t>
            </w:r>
            <w:r w:rsidR="00431E24">
              <w:rPr>
                <w:rFonts w:cstheme="minorHAnsi"/>
                <w:bCs/>
                <w:sz w:val="20"/>
                <w:szCs w:val="20"/>
              </w:rPr>
              <w:t>; b)</w:t>
            </w:r>
            <w:r w:rsidRPr="00860672">
              <w:rPr>
                <w:rFonts w:cstheme="minorHAnsi"/>
                <w:bCs/>
                <w:sz w:val="20"/>
                <w:szCs w:val="20"/>
              </w:rPr>
              <w:t>Receive and resolve any complaints submitted in relation to the PPA, in accordance with ESS10, and in a manner acceptable to the Association.</w:t>
            </w:r>
          </w:p>
        </w:tc>
        <w:tc>
          <w:tcPr>
            <w:tcW w:w="3960" w:type="dxa"/>
          </w:tcPr>
          <w:p w:rsidR="004D3232" w:rsidRPr="003D0F23" w:rsidRDefault="004D3232" w:rsidP="00F968EA">
            <w:pPr>
              <w:keepLines/>
              <w:widowControl w:val="0"/>
              <w:rPr>
                <w:rFonts w:cstheme="minorHAnsi"/>
                <w:iCs/>
                <w:sz w:val="20"/>
                <w:szCs w:val="20"/>
              </w:rPr>
            </w:pPr>
            <w:r w:rsidRPr="00970993">
              <w:rPr>
                <w:rFonts w:cstheme="minorHAnsi"/>
                <w:iCs/>
                <w:sz w:val="20"/>
                <w:szCs w:val="20"/>
              </w:rPr>
              <w:t>Two months after effectiveness of the PPA.</w:t>
            </w:r>
          </w:p>
        </w:tc>
        <w:tc>
          <w:tcPr>
            <w:tcW w:w="1530" w:type="dxa"/>
          </w:tcPr>
          <w:p w:rsidR="004D3232" w:rsidRPr="00155CAC" w:rsidRDefault="004D3232" w:rsidP="00F968EA">
            <w:pPr>
              <w:keepLines/>
              <w:widowControl w:val="0"/>
              <w:rPr>
                <w:rFonts w:cstheme="minorHAnsi"/>
                <w:iCs/>
                <w:sz w:val="20"/>
                <w:szCs w:val="20"/>
              </w:rPr>
            </w:pPr>
            <w:r w:rsidRPr="00E21F79">
              <w:rPr>
                <w:rFonts w:cstheme="minorHAnsi"/>
                <w:iCs/>
                <w:sz w:val="20"/>
                <w:szCs w:val="20"/>
              </w:rPr>
              <w:t>AFAP</w:t>
            </w:r>
          </w:p>
        </w:tc>
      </w:tr>
      <w:tr w:rsidR="004D3232" w:rsidRPr="00FA0A88" w:rsidTr="00147CE5">
        <w:trPr>
          <w:cantSplit/>
          <w:trHeight w:val="20"/>
        </w:trPr>
        <w:tc>
          <w:tcPr>
            <w:tcW w:w="14035" w:type="dxa"/>
            <w:gridSpan w:val="4"/>
            <w:shd w:val="clear" w:color="auto" w:fill="F4B083" w:themeFill="accent2" w:themeFillTint="99"/>
          </w:tcPr>
          <w:p w:rsidR="004D3232" w:rsidRPr="00FA0A88" w:rsidRDefault="0049275A" w:rsidP="5F88BE35">
            <w:pPr>
              <w:keepLines/>
              <w:widowControl w:val="0"/>
              <w:rPr>
                <w:b/>
                <w:bCs/>
                <w:sz w:val="20"/>
                <w:szCs w:val="20"/>
              </w:rPr>
            </w:pPr>
            <w:r w:rsidRPr="0049275A">
              <w:rPr>
                <w:b/>
                <w:bCs/>
                <w:sz w:val="20"/>
                <w:szCs w:val="20"/>
              </w:rPr>
              <w:t>CAPACITY SUPPORT (TRAINING)</w:t>
            </w:r>
          </w:p>
        </w:tc>
      </w:tr>
      <w:tr w:rsidR="00860672" w:rsidRPr="00FA0A88" w:rsidTr="00147CE5">
        <w:trPr>
          <w:cantSplit/>
          <w:trHeight w:val="20"/>
        </w:trPr>
        <w:tc>
          <w:tcPr>
            <w:tcW w:w="585" w:type="dxa"/>
          </w:tcPr>
          <w:p w:rsidR="004D3232" w:rsidRPr="00FA0A88" w:rsidRDefault="004D3232" w:rsidP="00F968EA">
            <w:pPr>
              <w:pStyle w:val="Normal-PRsubhead"/>
            </w:pPr>
          </w:p>
        </w:tc>
        <w:tc>
          <w:tcPr>
            <w:tcW w:w="7960" w:type="dxa"/>
          </w:tcPr>
          <w:p w:rsidR="0049275A" w:rsidRDefault="0049275A" w:rsidP="0049275A">
            <w:pPr>
              <w:pStyle w:val="Normal-PRsubhead"/>
            </w:pPr>
            <w:r>
              <w:t xml:space="preserve">Prepare and submit to the Bank an annual capacity building plan. The trainings may include the following among others: </w:t>
            </w:r>
          </w:p>
          <w:p w:rsidR="00E21F79" w:rsidRPr="00970993" w:rsidRDefault="00E21F79" w:rsidP="00E21F79">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Assessment, management and supervision of the PPA’s risks and impacts;</w:t>
            </w:r>
          </w:p>
          <w:p w:rsidR="00155CAC" w:rsidRPr="00970993" w:rsidRDefault="00E21F79" w:rsidP="00155CAC">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Development, implementation and supervision of the SEP;</w:t>
            </w:r>
          </w:p>
          <w:p w:rsidR="00155CAC" w:rsidRPr="00970993" w:rsidRDefault="00155CAC" w:rsidP="00155CAC">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Labour management procedures;</w:t>
            </w:r>
          </w:p>
          <w:p w:rsidR="00155CAC" w:rsidRPr="00970993" w:rsidRDefault="00155CAC" w:rsidP="00E21F79">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OHS;</w:t>
            </w:r>
          </w:p>
          <w:p w:rsidR="00E21F79" w:rsidRPr="00970993" w:rsidRDefault="00E21F79" w:rsidP="00E21F79">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 xml:space="preserve">Grievance Mechanisms; </w:t>
            </w:r>
          </w:p>
          <w:p w:rsidR="00E21F79" w:rsidRPr="00970993" w:rsidRDefault="00E21F79" w:rsidP="00E21F79">
            <w:pPr>
              <w:pStyle w:val="PargrafodaLista"/>
              <w:numPr>
                <w:ilvl w:val="0"/>
                <w:numId w:val="24"/>
              </w:numPr>
              <w:spacing w:after="0"/>
              <w:rPr>
                <w:rFonts w:eastAsia="Calibri" w:cstheme="minorHAnsi"/>
                <w:sz w:val="20"/>
                <w:szCs w:val="20"/>
                <w:lang w:val="en-GB"/>
              </w:rPr>
            </w:pPr>
            <w:r w:rsidRPr="00970993">
              <w:rPr>
                <w:rFonts w:eastAsia="Calibri" w:cstheme="minorHAnsi"/>
                <w:sz w:val="20"/>
                <w:szCs w:val="20"/>
                <w:lang w:val="en-GB"/>
              </w:rPr>
              <w:t>Environmental and social monitoring and reporting</w:t>
            </w:r>
          </w:p>
          <w:p w:rsidR="004D3232" w:rsidRPr="003B05CB" w:rsidRDefault="004D3232" w:rsidP="00860672"/>
        </w:tc>
        <w:tc>
          <w:tcPr>
            <w:tcW w:w="3960" w:type="dxa"/>
          </w:tcPr>
          <w:p w:rsidR="0049275A" w:rsidRPr="00970993" w:rsidRDefault="0049275A" w:rsidP="0049275A">
            <w:pPr>
              <w:keepLines/>
              <w:widowControl w:val="0"/>
              <w:rPr>
                <w:rFonts w:eastAsia="Calibri" w:cstheme="minorHAnsi"/>
                <w:sz w:val="20"/>
                <w:szCs w:val="20"/>
                <w:lang w:val="en-GB"/>
              </w:rPr>
            </w:pPr>
            <w:r w:rsidRPr="00970993">
              <w:rPr>
                <w:rFonts w:eastAsia="Calibri" w:cstheme="minorHAnsi"/>
                <w:sz w:val="20"/>
                <w:szCs w:val="20"/>
                <w:lang w:val="en-GB"/>
              </w:rPr>
              <w:t xml:space="preserve">Annual capacity building plan will be developed before commencement of PPA activities and within 30 days after PPA effectiveness. </w:t>
            </w:r>
          </w:p>
          <w:p w:rsidR="0049275A" w:rsidRPr="00970993" w:rsidRDefault="0049275A" w:rsidP="0049275A">
            <w:pPr>
              <w:keepLines/>
              <w:widowControl w:val="0"/>
              <w:rPr>
                <w:rFonts w:eastAsia="Calibri" w:cstheme="minorHAnsi"/>
                <w:sz w:val="20"/>
                <w:szCs w:val="20"/>
                <w:lang w:val="en-GB"/>
              </w:rPr>
            </w:pPr>
          </w:p>
          <w:p w:rsidR="004D3232" w:rsidRPr="00FA0A88" w:rsidRDefault="0049275A" w:rsidP="0049275A">
            <w:pPr>
              <w:keepLines/>
              <w:widowControl w:val="0"/>
              <w:rPr>
                <w:sz w:val="20"/>
                <w:szCs w:val="20"/>
              </w:rPr>
            </w:pPr>
            <w:r w:rsidRPr="00970993">
              <w:rPr>
                <w:rFonts w:eastAsia="Calibri" w:cstheme="minorHAnsi"/>
                <w:sz w:val="20"/>
                <w:szCs w:val="20"/>
                <w:lang w:val="en-GB"/>
              </w:rPr>
              <w:t>Throughout PPA implementation.</w:t>
            </w:r>
            <w:r w:rsidRPr="00970993">
              <w:rPr>
                <w:rFonts w:eastAsia="Calibri" w:cstheme="minorHAnsi"/>
                <w:sz w:val="20"/>
                <w:szCs w:val="20"/>
                <w:lang w:val="en-GB"/>
              </w:rPr>
              <w:tab/>
            </w:r>
          </w:p>
        </w:tc>
        <w:tc>
          <w:tcPr>
            <w:tcW w:w="1530" w:type="dxa"/>
          </w:tcPr>
          <w:p w:rsidR="004D3232" w:rsidRPr="00FA0A88" w:rsidRDefault="0049275A" w:rsidP="5F88BE35">
            <w:pPr>
              <w:keepLines/>
              <w:widowControl w:val="0"/>
              <w:rPr>
                <w:sz w:val="20"/>
                <w:szCs w:val="20"/>
              </w:rPr>
            </w:pPr>
            <w:r>
              <w:rPr>
                <w:sz w:val="20"/>
                <w:szCs w:val="20"/>
              </w:rPr>
              <w:t>AFAP</w:t>
            </w:r>
          </w:p>
        </w:tc>
      </w:tr>
    </w:tbl>
    <w:p w:rsidR="007C5D74" w:rsidRPr="00FA0A88" w:rsidRDefault="007C5D74">
      <w:pPr>
        <w:rPr>
          <w:sz w:val="4"/>
          <w:szCs w:val="4"/>
        </w:rPr>
      </w:pPr>
    </w:p>
    <w:p w:rsidR="002A07CC" w:rsidRPr="00FA0A88" w:rsidRDefault="002A07CC">
      <w:pPr>
        <w:rPr>
          <w:sz w:val="4"/>
          <w:szCs w:val="4"/>
        </w:rPr>
      </w:pPr>
    </w:p>
    <w:p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D6" w:rsidRDefault="00FD71D6" w:rsidP="00E35CB2">
      <w:r>
        <w:separator/>
      </w:r>
    </w:p>
    <w:p w:rsidR="00FD71D6" w:rsidRDefault="00FD71D6"/>
    <w:p w:rsidR="00FD71D6" w:rsidRDefault="00FD71D6"/>
    <w:p w:rsidR="00FD71D6" w:rsidRDefault="00FD71D6"/>
    <w:p w:rsidR="00FD71D6" w:rsidRDefault="00FD71D6"/>
  </w:endnote>
  <w:endnote w:type="continuationSeparator" w:id="1">
    <w:p w:rsidR="00FD71D6" w:rsidRDefault="00FD71D6" w:rsidP="00E35CB2">
      <w:r>
        <w:continuationSeparator/>
      </w:r>
    </w:p>
    <w:p w:rsidR="00FD71D6" w:rsidRDefault="00FD71D6"/>
    <w:p w:rsidR="00FD71D6" w:rsidRDefault="00FD71D6"/>
    <w:p w:rsidR="00FD71D6" w:rsidRDefault="00FD71D6"/>
    <w:p w:rsidR="00FD71D6" w:rsidRDefault="00FD71D6"/>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3B" w:rsidRDefault="00DB1C3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48033"/>
      <w:docPartObj>
        <w:docPartGallery w:val="Page Numbers (Bottom of Page)"/>
        <w:docPartUnique/>
      </w:docPartObj>
    </w:sdtPr>
    <w:sdtEndPr>
      <w:rPr>
        <w:color w:val="7F7F7F" w:themeColor="background1" w:themeShade="7F"/>
        <w:spacing w:val="60"/>
      </w:rPr>
    </w:sdtEndPr>
    <w:sdtContent>
      <w:p w:rsidR="00BC6ED8" w:rsidRDefault="0006280E">
        <w:pPr>
          <w:pStyle w:val="Rodap"/>
          <w:pBdr>
            <w:top w:val="single" w:sz="4" w:space="1" w:color="D9D9D9" w:themeColor="background1" w:themeShade="D9"/>
          </w:pBdr>
          <w:jc w:val="right"/>
        </w:pPr>
        <w:r>
          <w:rPr>
            <w:color w:val="2B579A"/>
            <w:shd w:val="clear" w:color="auto" w:fill="E6E6E6"/>
          </w:rPr>
          <w:fldChar w:fldCharType="begin"/>
        </w:r>
        <w:r w:rsidR="00BC6ED8">
          <w:instrText xml:space="preserve"> PAGE   \* MERGEFORMAT </w:instrText>
        </w:r>
        <w:r>
          <w:rPr>
            <w:color w:val="2B579A"/>
            <w:shd w:val="clear" w:color="auto" w:fill="E6E6E6"/>
          </w:rPr>
          <w:fldChar w:fldCharType="separate"/>
        </w:r>
        <w:r w:rsidR="008C664D">
          <w:rPr>
            <w:noProof/>
          </w:rPr>
          <w:t>2</w:t>
        </w:r>
        <w:r>
          <w:rPr>
            <w:noProof/>
            <w:color w:val="2B579A"/>
            <w:shd w:val="clear" w:color="auto" w:fill="E6E6E6"/>
          </w:rPr>
          <w:fldChar w:fldCharType="end"/>
        </w:r>
        <w:r w:rsidR="00BC6ED8">
          <w:t xml:space="preserve"> | </w:t>
        </w:r>
        <w:r w:rsidR="00BC6ED8">
          <w:rPr>
            <w:color w:val="7F7F7F" w:themeColor="background1" w:themeShade="7F"/>
            <w:spacing w:val="60"/>
          </w:rPr>
          <w:t>Page</w:t>
        </w:r>
      </w:p>
    </w:sdtContent>
  </w:sdt>
  <w:p w:rsidR="00BC6ED8" w:rsidRDefault="00BC6ED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3B" w:rsidRDefault="00DB1C3B">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Default="0006280E">
    <w:pPr>
      <w:pStyle w:val="Rodap"/>
      <w:pBdr>
        <w:top w:val="single" w:sz="4" w:space="1" w:color="D9D9D9" w:themeColor="background1" w:themeShade="D9"/>
      </w:pBdr>
      <w:jc w:val="right"/>
    </w:pPr>
    <w:r>
      <w:rPr>
        <w:color w:val="2B579A"/>
        <w:shd w:val="clear" w:color="auto" w:fill="E6E6E6"/>
      </w:rPr>
      <w:fldChar w:fldCharType="begin"/>
    </w:r>
    <w:r w:rsidR="00BC6ED8">
      <w:instrText xml:space="preserve"> PAGE   \* MERGEFORMAT </w:instrText>
    </w:r>
    <w:r>
      <w:rPr>
        <w:color w:val="2B579A"/>
        <w:shd w:val="clear" w:color="auto" w:fill="E6E6E6"/>
      </w:rPr>
      <w:fldChar w:fldCharType="separate"/>
    </w:r>
    <w:r w:rsidR="008C664D">
      <w:rPr>
        <w:noProof/>
      </w:rPr>
      <w:t>6</w:t>
    </w:r>
    <w:r>
      <w:rPr>
        <w:noProof/>
        <w:color w:val="2B579A"/>
        <w:shd w:val="clear" w:color="auto" w:fill="E6E6E6"/>
      </w:rPr>
      <w:fldChar w:fldCharType="end"/>
    </w:r>
    <w:r w:rsidR="00BC6ED8">
      <w:t xml:space="preserve"> | </w:t>
    </w:r>
    <w:r w:rsidR="00BC6ED8">
      <w:rPr>
        <w:color w:val="7F7F7F" w:themeColor="background1" w:themeShade="7F"/>
        <w:spacing w:val="60"/>
      </w:rPr>
      <w:t>Page</w:t>
    </w:r>
    <w:r>
      <w:rPr>
        <w:spacing w:val="60"/>
      </w:rPr>
    </w:r>
  </w:p>
  <w:p w:rsidR="00BC6ED8" w:rsidRDefault="00BC6E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D6" w:rsidRDefault="00FD71D6" w:rsidP="00E35CB2">
      <w:r>
        <w:separator/>
      </w:r>
    </w:p>
    <w:p w:rsidR="00FD71D6" w:rsidRDefault="00FD71D6"/>
    <w:p w:rsidR="00FD71D6" w:rsidRDefault="00FD71D6"/>
    <w:p w:rsidR="00FD71D6" w:rsidRDefault="00FD71D6"/>
    <w:p w:rsidR="00FD71D6" w:rsidRDefault="00FD71D6"/>
  </w:footnote>
  <w:footnote w:type="continuationSeparator" w:id="1">
    <w:p w:rsidR="00FD71D6" w:rsidRDefault="00FD71D6" w:rsidP="00E35CB2">
      <w:r>
        <w:continuationSeparator/>
      </w:r>
    </w:p>
    <w:p w:rsidR="00FD71D6" w:rsidRDefault="00FD71D6"/>
    <w:p w:rsidR="00FD71D6" w:rsidRDefault="00FD71D6"/>
    <w:p w:rsidR="00FD71D6" w:rsidRDefault="00FD71D6"/>
    <w:p w:rsidR="00FD71D6" w:rsidRDefault="00FD71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Default="0006280E">
    <w:pPr>
      <w:pStyle w:val="Cabealho"/>
    </w:pPr>
    <w:r w:rsidRPr="0006280E">
      <w:rPr>
        <w:noProof/>
        <w:color w:val="2B579A"/>
        <w:shd w:val="clear" w:color="auto" w:fill="E6E6E6"/>
        <w:lang w:val="pt-PT" w:eastAsia="pt-PT"/>
      </w:rPr>
      <w:pict>
        <v:shapetype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Pr="00FA0A88" w:rsidRDefault="0006280E" w:rsidP="00FA0A88">
    <w:pPr>
      <w:pStyle w:val="Cabealho"/>
      <w:jc w:val="right"/>
      <w:rPr>
        <w:rFonts w:cstheme="minorHAnsi"/>
        <w:b/>
        <w:smallCaps/>
        <w:color w:val="808080" w:themeColor="background1" w:themeShade="80"/>
        <w:sz w:val="18"/>
        <w:szCs w:val="18"/>
      </w:rPr>
    </w:pPr>
    <w:r w:rsidRPr="0006280E">
      <w:rPr>
        <w:rFonts w:cstheme="minorHAnsi"/>
        <w:b/>
        <w:smallCaps/>
        <w:noProof/>
        <w:color w:val="2B579A"/>
        <w:sz w:val="18"/>
        <w:szCs w:val="18"/>
        <w:shd w:val="clear" w:color="auto" w:fill="E6E6E6"/>
        <w:lang w:val="pt-PT" w:eastAsia="pt-PT"/>
      </w:rPr>
      <w:pict>
        <v:shapetype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BC6ED8" w:rsidRPr="00FA0A88">
      <w:rPr>
        <w:rFonts w:cstheme="minorHAnsi"/>
        <w:b/>
        <w:smallCaps/>
        <w:color w:val="808080" w:themeColor="background1" w:themeShade="80"/>
        <w:sz w:val="18"/>
        <w:szCs w:val="18"/>
      </w:rPr>
      <w:t>THE WORLD BANK - ENVIRONMENTAL AND SOCIAL COMMITMENT PLAN (ESCP)</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rsidR="00BC6ED8" w:rsidRPr="00AD0A1F" w:rsidRDefault="00BC6ED8" w:rsidP="00AD0A1F">
    <w:pPr>
      <w:pStyle w:val="Cabealho"/>
      <w:jc w:val="center"/>
      <w:rPr>
        <w:rFonts w:cstheme="minorHAnsi"/>
        <w:b/>
        <w:color w:val="808080" w:themeColor="background1" w:themeShade="8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Default="0006280E">
    <w:pPr>
      <w:pStyle w:val="Cabealho"/>
    </w:pPr>
    <w:r w:rsidRPr="0006280E">
      <w:rPr>
        <w:noProof/>
        <w:color w:val="2B579A"/>
        <w:shd w:val="clear" w:color="auto" w:fill="E6E6E6"/>
        <w:lang w:val="pt-PT" w:eastAsia="pt-PT"/>
      </w:rPr>
      <w:pict>
        <v:shapetype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rsidR="00BC6ED8" w:rsidRDefault="00BC6ED8"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Default="00BC6ED8">
    <w:pPr>
      <w:pStyle w:val="Cabealho"/>
    </w:pPr>
  </w:p>
  <w:p w:rsidR="00BC6ED8" w:rsidRDefault="00BC6ED8"/>
  <w:p w:rsidR="00BC6ED8" w:rsidRDefault="00BC6ED8"/>
  <w:p w:rsidR="00BC6ED8" w:rsidRDefault="00BC6ED8"/>
  <w:p w:rsidR="00BC6ED8" w:rsidRDefault="00BC6ED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Pr="00506C68" w:rsidRDefault="0006280E" w:rsidP="00FA0A88">
    <w:pPr>
      <w:pStyle w:val="Cabealho"/>
      <w:rPr>
        <w:rFonts w:cstheme="minorHAnsi"/>
        <w:b/>
        <w:color w:val="808080" w:themeColor="background1" w:themeShade="80"/>
        <w:sz w:val="16"/>
        <w:szCs w:val="16"/>
      </w:rPr>
    </w:pPr>
    <w:r w:rsidRPr="0006280E">
      <w:rPr>
        <w:rFonts w:cstheme="minorHAnsi"/>
        <w:b/>
        <w:noProof/>
        <w:color w:val="2B579A"/>
        <w:sz w:val="18"/>
        <w:szCs w:val="18"/>
        <w:shd w:val="clear" w:color="auto" w:fill="E6E6E6"/>
        <w:lang w:val="pt-PT" w:eastAsia="pt-PT"/>
      </w:rPr>
      <w:pict>
        <v:shapetype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rsidR="00BC6ED8" w:rsidRDefault="00BC6ED8"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BC6ED8" w:rsidRPr="00FA0A88">
      <w:rPr>
        <w:rFonts w:cstheme="minorHAnsi"/>
        <w:b/>
        <w:color w:val="808080" w:themeColor="background1" w:themeShade="80"/>
        <w:sz w:val="18"/>
        <w:szCs w:val="18"/>
      </w:rPr>
      <w:t xml:space="preserve">THE WORLD BANK - ENVIRONMENTAL AND SOCIAL COMMITMENT PLAN (ESCP): VERSION </w:t>
    </w:r>
    <w:r w:rsidR="00791B9F">
      <w:rPr>
        <w:rFonts w:cstheme="minorHAnsi"/>
        <w:b/>
        <w:color w:val="808080" w:themeColor="background1" w:themeShade="80"/>
        <w:sz w:val="18"/>
        <w:szCs w:val="18"/>
      </w:rPr>
      <w:t>1</w:t>
    </w:r>
    <w:r w:rsidR="00BC6ED8" w:rsidRPr="00FA0A88">
      <w:rPr>
        <w:rFonts w:cstheme="minorHAnsi"/>
        <w:b/>
        <w:color w:val="808080" w:themeColor="background1" w:themeShade="80"/>
        <w:sz w:val="18"/>
        <w:szCs w:val="18"/>
      </w:rPr>
      <w:t xml:space="preserve">.0 – </w:t>
    </w:r>
    <w:r w:rsidR="00791B9F">
      <w:rPr>
        <w:rFonts w:cstheme="minorHAnsi"/>
        <w:b/>
        <w:color w:val="808080" w:themeColor="background1" w:themeShade="80"/>
        <w:sz w:val="18"/>
        <w:szCs w:val="18"/>
      </w:rPr>
      <w:t>August 2021</w:t>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r w:rsidR="00BC6ED8">
      <w:rPr>
        <w:rFonts w:cstheme="minorHAnsi"/>
        <w:b/>
        <w:color w:val="808080" w:themeColor="background1" w:themeShade="80"/>
        <w:sz w:val="16"/>
        <w:szCs w:val="16"/>
      </w:rPr>
      <w:tab/>
    </w:r>
  </w:p>
  <w:p w:rsidR="00BC6ED8" w:rsidRPr="00506C68" w:rsidRDefault="00BC6ED8" w:rsidP="000A0AEB">
    <w:pPr>
      <w:pStyle w:val="Cabealho"/>
      <w:rPr>
        <w:rFonts w:cstheme="minorHAnsi"/>
        <w:b/>
        <w:color w:val="808080" w:themeColor="background1" w:themeShade="80"/>
        <w:sz w:val="16"/>
        <w:szCs w:val="16"/>
      </w:rPr>
    </w:pPr>
  </w:p>
  <w:p w:rsidR="00BC6ED8" w:rsidRDefault="00BC6ED8" w:rsidP="005D09F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D8" w:rsidRDefault="00BC6E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C55AD"/>
    <w:multiLevelType w:val="multilevel"/>
    <w:tmpl w:val="539270E8"/>
    <w:lvl w:ilvl="0">
      <w:start w:val="1"/>
      <w:numFmt w:val="decimal"/>
      <w:pStyle w:val="Ttulo1"/>
      <w:lvlText w:val="%1."/>
      <w:lvlJc w:val="left"/>
      <w:pPr>
        <w:ind w:left="0" w:firstLine="0"/>
      </w:pPr>
      <w:rPr>
        <w:rFonts w:hint="default"/>
        <w:b w:val="0"/>
        <w:bCs w:val="0"/>
        <w:sz w:val="22"/>
        <w:szCs w:val="22"/>
      </w:rPr>
    </w:lvl>
    <w:lvl w:ilvl="1">
      <w:start w:val="1"/>
      <w:numFmt w:val="none"/>
      <w:pStyle w:val="Ttulo2"/>
      <w:suff w:val="nothing"/>
      <w:lvlText w:val=""/>
      <w:lvlJc w:val="left"/>
      <w:pPr>
        <w:ind w:left="0" w:firstLine="0"/>
      </w:pPr>
      <w:rPr>
        <w:rFonts w:hint="default"/>
        <w:lang w:val="en-US"/>
      </w:rPr>
    </w:lvl>
    <w:lvl w:ilvl="2">
      <w:start w:val="1"/>
      <w:numFmt w:val="upperLetter"/>
      <w:pStyle w:val="Ttulo3"/>
      <w:lvlText w:val="%3."/>
      <w:lvlJc w:val="left"/>
      <w:pPr>
        <w:ind w:left="450" w:hanging="36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32767" w:firstLine="0"/>
      </w:pPr>
      <w:rPr>
        <w:rFonts w:hint="default"/>
      </w:rPr>
    </w:lvl>
    <w:lvl w:ilvl="5">
      <w:start w:val="1"/>
      <w:numFmt w:val="none"/>
      <w:pStyle w:val="Ttulo6"/>
      <w:suff w:val="nothing"/>
      <w:lvlText w:val=""/>
      <w:lvlJc w:val="left"/>
      <w:pPr>
        <w:ind w:left="-32767"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69C78BE"/>
    <w:multiLevelType w:val="hybridMultilevel"/>
    <w:tmpl w:val="D7F8E908"/>
    <w:lvl w:ilvl="0" w:tplc="6E88C12E">
      <w:start w:val="1"/>
      <w:numFmt w:val="decimal"/>
      <w:lvlText w:val="%1."/>
      <w:lvlJc w:val="left"/>
      <w:pPr>
        <w:ind w:left="720" w:hanging="360"/>
      </w:pPr>
    </w:lvl>
    <w:lvl w:ilvl="1" w:tplc="99E6764E">
      <w:start w:val="1"/>
      <w:numFmt w:val="lowerLetter"/>
      <w:lvlText w:val="%2."/>
      <w:lvlJc w:val="left"/>
      <w:pPr>
        <w:ind w:left="1440" w:hanging="360"/>
      </w:pPr>
    </w:lvl>
    <w:lvl w:ilvl="2" w:tplc="20DC05EE">
      <w:start w:val="1"/>
      <w:numFmt w:val="lowerRoman"/>
      <w:lvlText w:val="%3."/>
      <w:lvlJc w:val="right"/>
      <w:pPr>
        <w:ind w:left="2160" w:hanging="180"/>
      </w:pPr>
    </w:lvl>
    <w:lvl w:ilvl="3" w:tplc="C1545F6C">
      <w:start w:val="1"/>
      <w:numFmt w:val="decimal"/>
      <w:lvlText w:val="%4."/>
      <w:lvlJc w:val="left"/>
      <w:pPr>
        <w:ind w:left="2880" w:hanging="360"/>
      </w:pPr>
    </w:lvl>
    <w:lvl w:ilvl="4" w:tplc="374A8C82">
      <w:start w:val="1"/>
      <w:numFmt w:val="lowerLetter"/>
      <w:lvlText w:val="%5."/>
      <w:lvlJc w:val="left"/>
      <w:pPr>
        <w:ind w:left="3600" w:hanging="360"/>
      </w:pPr>
    </w:lvl>
    <w:lvl w:ilvl="5" w:tplc="C02A8594">
      <w:start w:val="1"/>
      <w:numFmt w:val="lowerRoman"/>
      <w:lvlText w:val="%6."/>
      <w:lvlJc w:val="right"/>
      <w:pPr>
        <w:ind w:left="4320" w:hanging="180"/>
      </w:pPr>
    </w:lvl>
    <w:lvl w:ilvl="6" w:tplc="16CE577C">
      <w:start w:val="1"/>
      <w:numFmt w:val="decimal"/>
      <w:lvlText w:val="%7."/>
      <w:lvlJc w:val="left"/>
      <w:pPr>
        <w:ind w:left="5040" w:hanging="360"/>
      </w:pPr>
    </w:lvl>
    <w:lvl w:ilvl="7" w:tplc="B25C2760">
      <w:start w:val="1"/>
      <w:numFmt w:val="lowerLetter"/>
      <w:lvlText w:val="%8."/>
      <w:lvlJc w:val="left"/>
      <w:pPr>
        <w:ind w:left="5760" w:hanging="360"/>
      </w:pPr>
    </w:lvl>
    <w:lvl w:ilvl="8" w:tplc="E64C807C">
      <w:start w:val="1"/>
      <w:numFmt w:val="lowerRoman"/>
      <w:lvlText w:val="%9."/>
      <w:lvlJc w:val="right"/>
      <w:pPr>
        <w:ind w:left="6480" w:hanging="180"/>
      </w:pPr>
    </w:lvl>
  </w:abstractNum>
  <w:abstractNum w:abstractNumId="5">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F72B4"/>
    <w:multiLevelType w:val="hybridMultilevel"/>
    <w:tmpl w:val="6A444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975FA"/>
    <w:multiLevelType w:val="hybridMultilevel"/>
    <w:tmpl w:val="B6A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846C3"/>
    <w:multiLevelType w:val="hybridMultilevel"/>
    <w:tmpl w:val="F62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4"/>
  </w:num>
  <w:num w:numId="2">
    <w:abstractNumId w:val="20"/>
  </w:num>
  <w:num w:numId="3">
    <w:abstractNumId w:val="7"/>
  </w:num>
  <w:num w:numId="4">
    <w:abstractNumId w:val="21"/>
  </w:num>
  <w:num w:numId="5">
    <w:abstractNumId w:val="19"/>
  </w:num>
  <w:num w:numId="6">
    <w:abstractNumId w:val="13"/>
  </w:num>
  <w:num w:numId="7">
    <w:abstractNumId w:val="23"/>
  </w:num>
  <w:num w:numId="8">
    <w:abstractNumId w:val="2"/>
  </w:num>
  <w:num w:numId="9">
    <w:abstractNumId w:val="9"/>
  </w:num>
  <w:num w:numId="10">
    <w:abstractNumId w:val="1"/>
  </w:num>
  <w:num w:numId="11">
    <w:abstractNumId w:val="15"/>
  </w:num>
  <w:num w:numId="12">
    <w:abstractNumId w:val="8"/>
  </w:num>
  <w:num w:numId="13">
    <w:abstractNumId w:val="6"/>
  </w:num>
  <w:num w:numId="14">
    <w:abstractNumId w:val="5"/>
  </w:num>
  <w:num w:numId="15">
    <w:abstractNumId w:val="17"/>
  </w:num>
  <w:num w:numId="16">
    <w:abstractNumId w:val="14"/>
  </w:num>
  <w:num w:numId="17">
    <w:abstractNumId w:val="22"/>
  </w:num>
  <w:num w:numId="18">
    <w:abstractNumId w:val="12"/>
  </w:num>
  <w:num w:numId="19">
    <w:abstractNumId w:val="0"/>
  </w:num>
  <w:num w:numId="20">
    <w:abstractNumId w:val="11"/>
  </w:num>
  <w:num w:numId="21">
    <w:abstractNumId w:val="3"/>
  </w:num>
  <w:num w:numId="22">
    <w:abstractNumId w:val="16"/>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35CB2"/>
    <w:rsid w:val="00002B96"/>
    <w:rsid w:val="000033B2"/>
    <w:rsid w:val="000034DD"/>
    <w:rsid w:val="0001001E"/>
    <w:rsid w:val="00011EBF"/>
    <w:rsid w:val="000124AF"/>
    <w:rsid w:val="000132C7"/>
    <w:rsid w:val="00013663"/>
    <w:rsid w:val="00013DA1"/>
    <w:rsid w:val="00015A47"/>
    <w:rsid w:val="0001758C"/>
    <w:rsid w:val="00021A5C"/>
    <w:rsid w:val="00022B03"/>
    <w:rsid w:val="00022CE4"/>
    <w:rsid w:val="00026C40"/>
    <w:rsid w:val="00033CA0"/>
    <w:rsid w:val="00040743"/>
    <w:rsid w:val="00044394"/>
    <w:rsid w:val="00044485"/>
    <w:rsid w:val="000468DE"/>
    <w:rsid w:val="00047A48"/>
    <w:rsid w:val="00050BF8"/>
    <w:rsid w:val="00051F1D"/>
    <w:rsid w:val="00052EDC"/>
    <w:rsid w:val="00053C5B"/>
    <w:rsid w:val="0005481F"/>
    <w:rsid w:val="000561A4"/>
    <w:rsid w:val="000564F8"/>
    <w:rsid w:val="000623D2"/>
    <w:rsid w:val="0006280E"/>
    <w:rsid w:val="00064858"/>
    <w:rsid w:val="00066E4A"/>
    <w:rsid w:val="00071F61"/>
    <w:rsid w:val="00081DC8"/>
    <w:rsid w:val="00084A7E"/>
    <w:rsid w:val="00085C13"/>
    <w:rsid w:val="0009295B"/>
    <w:rsid w:val="0009509F"/>
    <w:rsid w:val="00097542"/>
    <w:rsid w:val="000A0AEB"/>
    <w:rsid w:val="000A1E89"/>
    <w:rsid w:val="000A3764"/>
    <w:rsid w:val="000A38EB"/>
    <w:rsid w:val="000A419E"/>
    <w:rsid w:val="000B0093"/>
    <w:rsid w:val="000B1513"/>
    <w:rsid w:val="000B4B7D"/>
    <w:rsid w:val="000B6C87"/>
    <w:rsid w:val="000B7699"/>
    <w:rsid w:val="000C0CEF"/>
    <w:rsid w:val="000C1839"/>
    <w:rsid w:val="000C3C6E"/>
    <w:rsid w:val="000C4140"/>
    <w:rsid w:val="000C42E8"/>
    <w:rsid w:val="000D043C"/>
    <w:rsid w:val="000D3122"/>
    <w:rsid w:val="000D32EF"/>
    <w:rsid w:val="000D3946"/>
    <w:rsid w:val="000F0DFB"/>
    <w:rsid w:val="000F2E62"/>
    <w:rsid w:val="000F6C4D"/>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CE5"/>
    <w:rsid w:val="00147DBF"/>
    <w:rsid w:val="0015236B"/>
    <w:rsid w:val="00152CC3"/>
    <w:rsid w:val="00154D0A"/>
    <w:rsid w:val="00155CAC"/>
    <w:rsid w:val="0016519A"/>
    <w:rsid w:val="00165F8C"/>
    <w:rsid w:val="00170978"/>
    <w:rsid w:val="00170A10"/>
    <w:rsid w:val="001722BA"/>
    <w:rsid w:val="001735CA"/>
    <w:rsid w:val="0017533F"/>
    <w:rsid w:val="00175BD5"/>
    <w:rsid w:val="00177A87"/>
    <w:rsid w:val="00180640"/>
    <w:rsid w:val="0018084E"/>
    <w:rsid w:val="00181C52"/>
    <w:rsid w:val="001878F9"/>
    <w:rsid w:val="001916A5"/>
    <w:rsid w:val="00197015"/>
    <w:rsid w:val="00197E5B"/>
    <w:rsid w:val="001A0AE5"/>
    <w:rsid w:val="001A1149"/>
    <w:rsid w:val="001A44BB"/>
    <w:rsid w:val="001A7BD5"/>
    <w:rsid w:val="001B452C"/>
    <w:rsid w:val="001B5562"/>
    <w:rsid w:val="001C410B"/>
    <w:rsid w:val="001C4B0D"/>
    <w:rsid w:val="001D2432"/>
    <w:rsid w:val="001D2466"/>
    <w:rsid w:val="001D4EE0"/>
    <w:rsid w:val="001D672E"/>
    <w:rsid w:val="001D78A8"/>
    <w:rsid w:val="001E72D4"/>
    <w:rsid w:val="001F05A7"/>
    <w:rsid w:val="001F213D"/>
    <w:rsid w:val="001F3344"/>
    <w:rsid w:val="001F4109"/>
    <w:rsid w:val="001F58D6"/>
    <w:rsid w:val="0020003B"/>
    <w:rsid w:val="002000B2"/>
    <w:rsid w:val="002034B8"/>
    <w:rsid w:val="002034F1"/>
    <w:rsid w:val="002064DD"/>
    <w:rsid w:val="002216CD"/>
    <w:rsid w:val="00223773"/>
    <w:rsid w:val="00224809"/>
    <w:rsid w:val="00230427"/>
    <w:rsid w:val="00253388"/>
    <w:rsid w:val="00256E8D"/>
    <w:rsid w:val="002645DA"/>
    <w:rsid w:val="00266460"/>
    <w:rsid w:val="00266C75"/>
    <w:rsid w:val="002701A2"/>
    <w:rsid w:val="00275063"/>
    <w:rsid w:val="00276158"/>
    <w:rsid w:val="00283DE4"/>
    <w:rsid w:val="00284ABA"/>
    <w:rsid w:val="002900CC"/>
    <w:rsid w:val="0029168A"/>
    <w:rsid w:val="0029223F"/>
    <w:rsid w:val="0029535A"/>
    <w:rsid w:val="0029679B"/>
    <w:rsid w:val="00297AB6"/>
    <w:rsid w:val="002A07CC"/>
    <w:rsid w:val="002A0C04"/>
    <w:rsid w:val="002A3F16"/>
    <w:rsid w:val="002A4589"/>
    <w:rsid w:val="002A67AD"/>
    <w:rsid w:val="002B04DB"/>
    <w:rsid w:val="002B651B"/>
    <w:rsid w:val="002C4801"/>
    <w:rsid w:val="002C5A09"/>
    <w:rsid w:val="002C7822"/>
    <w:rsid w:val="002C7ADE"/>
    <w:rsid w:val="002D2C18"/>
    <w:rsid w:val="002D36AF"/>
    <w:rsid w:val="002D3E80"/>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7747C"/>
    <w:rsid w:val="00380112"/>
    <w:rsid w:val="00383C2C"/>
    <w:rsid w:val="003851E2"/>
    <w:rsid w:val="00385CFE"/>
    <w:rsid w:val="00385E4E"/>
    <w:rsid w:val="0038605C"/>
    <w:rsid w:val="0039348B"/>
    <w:rsid w:val="003974D6"/>
    <w:rsid w:val="003A58A1"/>
    <w:rsid w:val="003B05CB"/>
    <w:rsid w:val="003B391A"/>
    <w:rsid w:val="003B5E96"/>
    <w:rsid w:val="003B7735"/>
    <w:rsid w:val="003C1D4C"/>
    <w:rsid w:val="003C2002"/>
    <w:rsid w:val="003D0F23"/>
    <w:rsid w:val="003E1D7B"/>
    <w:rsid w:val="003E41FE"/>
    <w:rsid w:val="003E6028"/>
    <w:rsid w:val="003E6299"/>
    <w:rsid w:val="003F392B"/>
    <w:rsid w:val="003F51D0"/>
    <w:rsid w:val="003F7918"/>
    <w:rsid w:val="00402C16"/>
    <w:rsid w:val="00403D18"/>
    <w:rsid w:val="00404812"/>
    <w:rsid w:val="004075D2"/>
    <w:rsid w:val="004137A2"/>
    <w:rsid w:val="0041418E"/>
    <w:rsid w:val="004173F6"/>
    <w:rsid w:val="00417D70"/>
    <w:rsid w:val="00421ECE"/>
    <w:rsid w:val="004222F1"/>
    <w:rsid w:val="00422BDD"/>
    <w:rsid w:val="00423785"/>
    <w:rsid w:val="00423CAC"/>
    <w:rsid w:val="00425CD3"/>
    <w:rsid w:val="0043065D"/>
    <w:rsid w:val="00431E24"/>
    <w:rsid w:val="00433B26"/>
    <w:rsid w:val="00445EDB"/>
    <w:rsid w:val="004472E6"/>
    <w:rsid w:val="0045080E"/>
    <w:rsid w:val="00455D0A"/>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275A"/>
    <w:rsid w:val="00493FB9"/>
    <w:rsid w:val="004973A4"/>
    <w:rsid w:val="00497F9A"/>
    <w:rsid w:val="004A5380"/>
    <w:rsid w:val="004A7DCB"/>
    <w:rsid w:val="004B006E"/>
    <w:rsid w:val="004B5968"/>
    <w:rsid w:val="004B5B25"/>
    <w:rsid w:val="004C681B"/>
    <w:rsid w:val="004D3232"/>
    <w:rsid w:val="004D3A88"/>
    <w:rsid w:val="004D60D3"/>
    <w:rsid w:val="004D65A4"/>
    <w:rsid w:val="004D759F"/>
    <w:rsid w:val="004D7C69"/>
    <w:rsid w:val="004E51B0"/>
    <w:rsid w:val="004E5289"/>
    <w:rsid w:val="004E6660"/>
    <w:rsid w:val="004E68EF"/>
    <w:rsid w:val="004E7CEA"/>
    <w:rsid w:val="004F1184"/>
    <w:rsid w:val="004F56F7"/>
    <w:rsid w:val="004F5C4E"/>
    <w:rsid w:val="005003F2"/>
    <w:rsid w:val="00501AA7"/>
    <w:rsid w:val="00502173"/>
    <w:rsid w:val="00503F93"/>
    <w:rsid w:val="00505881"/>
    <w:rsid w:val="00506C68"/>
    <w:rsid w:val="005129FC"/>
    <w:rsid w:val="00524D42"/>
    <w:rsid w:val="0053072C"/>
    <w:rsid w:val="00536689"/>
    <w:rsid w:val="00541AD5"/>
    <w:rsid w:val="00542244"/>
    <w:rsid w:val="005444A2"/>
    <w:rsid w:val="00545C67"/>
    <w:rsid w:val="0055127F"/>
    <w:rsid w:val="0055267B"/>
    <w:rsid w:val="00554415"/>
    <w:rsid w:val="005557DB"/>
    <w:rsid w:val="00556C53"/>
    <w:rsid w:val="00560102"/>
    <w:rsid w:val="00561847"/>
    <w:rsid w:val="00561AFB"/>
    <w:rsid w:val="00562414"/>
    <w:rsid w:val="00563557"/>
    <w:rsid w:val="00570B1A"/>
    <w:rsid w:val="00572F61"/>
    <w:rsid w:val="00574569"/>
    <w:rsid w:val="00574F70"/>
    <w:rsid w:val="00575258"/>
    <w:rsid w:val="00575FE8"/>
    <w:rsid w:val="00576631"/>
    <w:rsid w:val="00576B69"/>
    <w:rsid w:val="005860F0"/>
    <w:rsid w:val="005879CC"/>
    <w:rsid w:val="00590D55"/>
    <w:rsid w:val="00593C8E"/>
    <w:rsid w:val="00594521"/>
    <w:rsid w:val="005A11DD"/>
    <w:rsid w:val="005A4439"/>
    <w:rsid w:val="005B4E74"/>
    <w:rsid w:val="005B54EF"/>
    <w:rsid w:val="005B5951"/>
    <w:rsid w:val="005C40FB"/>
    <w:rsid w:val="005C4926"/>
    <w:rsid w:val="005C5F8B"/>
    <w:rsid w:val="005D0063"/>
    <w:rsid w:val="005D09FE"/>
    <w:rsid w:val="005D394E"/>
    <w:rsid w:val="005D41CB"/>
    <w:rsid w:val="005D45E6"/>
    <w:rsid w:val="005D4B65"/>
    <w:rsid w:val="005E2E4D"/>
    <w:rsid w:val="005E3DC1"/>
    <w:rsid w:val="005E48F9"/>
    <w:rsid w:val="005E72FF"/>
    <w:rsid w:val="005F13A2"/>
    <w:rsid w:val="005F1AFA"/>
    <w:rsid w:val="005F1B0E"/>
    <w:rsid w:val="005F5906"/>
    <w:rsid w:val="005F5CE4"/>
    <w:rsid w:val="005F6237"/>
    <w:rsid w:val="005F6274"/>
    <w:rsid w:val="0060159E"/>
    <w:rsid w:val="00602FE2"/>
    <w:rsid w:val="00606CA7"/>
    <w:rsid w:val="0061014B"/>
    <w:rsid w:val="006110F8"/>
    <w:rsid w:val="00614E29"/>
    <w:rsid w:val="006170CD"/>
    <w:rsid w:val="006175DC"/>
    <w:rsid w:val="00620639"/>
    <w:rsid w:val="00627DBD"/>
    <w:rsid w:val="00630740"/>
    <w:rsid w:val="00630C76"/>
    <w:rsid w:val="00641B66"/>
    <w:rsid w:val="006477C1"/>
    <w:rsid w:val="00650EEA"/>
    <w:rsid w:val="00652DC8"/>
    <w:rsid w:val="00655E8D"/>
    <w:rsid w:val="00662D45"/>
    <w:rsid w:val="00670476"/>
    <w:rsid w:val="00673861"/>
    <w:rsid w:val="00673BC8"/>
    <w:rsid w:val="00674602"/>
    <w:rsid w:val="00676E7B"/>
    <w:rsid w:val="00677B3B"/>
    <w:rsid w:val="0068268C"/>
    <w:rsid w:val="006835E0"/>
    <w:rsid w:val="00685FF9"/>
    <w:rsid w:val="0068618C"/>
    <w:rsid w:val="00686DF7"/>
    <w:rsid w:val="00691BC2"/>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0765"/>
    <w:rsid w:val="00717524"/>
    <w:rsid w:val="0072141F"/>
    <w:rsid w:val="00721F4E"/>
    <w:rsid w:val="00727263"/>
    <w:rsid w:val="0073367A"/>
    <w:rsid w:val="0073471D"/>
    <w:rsid w:val="00734F89"/>
    <w:rsid w:val="0074136F"/>
    <w:rsid w:val="00743DD5"/>
    <w:rsid w:val="00744980"/>
    <w:rsid w:val="00747414"/>
    <w:rsid w:val="00747B10"/>
    <w:rsid w:val="00752D7A"/>
    <w:rsid w:val="00752E6D"/>
    <w:rsid w:val="0075364D"/>
    <w:rsid w:val="00754821"/>
    <w:rsid w:val="007548C5"/>
    <w:rsid w:val="007551F8"/>
    <w:rsid w:val="007569FE"/>
    <w:rsid w:val="00756E4A"/>
    <w:rsid w:val="007640AF"/>
    <w:rsid w:val="00764868"/>
    <w:rsid w:val="00777904"/>
    <w:rsid w:val="00777A2D"/>
    <w:rsid w:val="00777D1F"/>
    <w:rsid w:val="00781C28"/>
    <w:rsid w:val="00783E3C"/>
    <w:rsid w:val="0078416F"/>
    <w:rsid w:val="007847F5"/>
    <w:rsid w:val="00784922"/>
    <w:rsid w:val="00784B19"/>
    <w:rsid w:val="00791A34"/>
    <w:rsid w:val="00791B9F"/>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0F60"/>
    <w:rsid w:val="007F118F"/>
    <w:rsid w:val="00801481"/>
    <w:rsid w:val="00801E64"/>
    <w:rsid w:val="0080354A"/>
    <w:rsid w:val="00805C69"/>
    <w:rsid w:val="00806012"/>
    <w:rsid w:val="008109FB"/>
    <w:rsid w:val="00817066"/>
    <w:rsid w:val="00821252"/>
    <w:rsid w:val="00822EA7"/>
    <w:rsid w:val="00824684"/>
    <w:rsid w:val="008249BF"/>
    <w:rsid w:val="008256E0"/>
    <w:rsid w:val="008267EF"/>
    <w:rsid w:val="00827E50"/>
    <w:rsid w:val="00836C2C"/>
    <w:rsid w:val="0084174A"/>
    <w:rsid w:val="008433D2"/>
    <w:rsid w:val="00845EE9"/>
    <w:rsid w:val="00856BDC"/>
    <w:rsid w:val="00860672"/>
    <w:rsid w:val="00861DF4"/>
    <w:rsid w:val="0086245D"/>
    <w:rsid w:val="00862718"/>
    <w:rsid w:val="00863160"/>
    <w:rsid w:val="00865A6D"/>
    <w:rsid w:val="00871F34"/>
    <w:rsid w:val="008841BE"/>
    <w:rsid w:val="008853C4"/>
    <w:rsid w:val="00886479"/>
    <w:rsid w:val="00891841"/>
    <w:rsid w:val="00891DF6"/>
    <w:rsid w:val="0089240F"/>
    <w:rsid w:val="00897826"/>
    <w:rsid w:val="008A289E"/>
    <w:rsid w:val="008A40B6"/>
    <w:rsid w:val="008A6051"/>
    <w:rsid w:val="008A7977"/>
    <w:rsid w:val="008B3DA5"/>
    <w:rsid w:val="008C061B"/>
    <w:rsid w:val="008C2C65"/>
    <w:rsid w:val="008C58A2"/>
    <w:rsid w:val="008C664D"/>
    <w:rsid w:val="008C6B69"/>
    <w:rsid w:val="008D1770"/>
    <w:rsid w:val="008D1817"/>
    <w:rsid w:val="008D307A"/>
    <w:rsid w:val="008E1414"/>
    <w:rsid w:val="008E4690"/>
    <w:rsid w:val="008E521F"/>
    <w:rsid w:val="008E535C"/>
    <w:rsid w:val="008E7548"/>
    <w:rsid w:val="008F065F"/>
    <w:rsid w:val="008F1333"/>
    <w:rsid w:val="008F1512"/>
    <w:rsid w:val="008F153C"/>
    <w:rsid w:val="008F40D7"/>
    <w:rsid w:val="008F4879"/>
    <w:rsid w:val="008F561B"/>
    <w:rsid w:val="009003C4"/>
    <w:rsid w:val="00903506"/>
    <w:rsid w:val="00906EB4"/>
    <w:rsid w:val="00907ECD"/>
    <w:rsid w:val="00910DFA"/>
    <w:rsid w:val="0091111E"/>
    <w:rsid w:val="0091289B"/>
    <w:rsid w:val="00913680"/>
    <w:rsid w:val="00914AFC"/>
    <w:rsid w:val="00915139"/>
    <w:rsid w:val="00915D58"/>
    <w:rsid w:val="00915F10"/>
    <w:rsid w:val="00916A95"/>
    <w:rsid w:val="00927D8B"/>
    <w:rsid w:val="00936331"/>
    <w:rsid w:val="009402D5"/>
    <w:rsid w:val="009428BB"/>
    <w:rsid w:val="00943E7B"/>
    <w:rsid w:val="00945B1A"/>
    <w:rsid w:val="0094668F"/>
    <w:rsid w:val="00947023"/>
    <w:rsid w:val="00947BD1"/>
    <w:rsid w:val="00950FFA"/>
    <w:rsid w:val="0095479C"/>
    <w:rsid w:val="00956C8A"/>
    <w:rsid w:val="009575BF"/>
    <w:rsid w:val="00966758"/>
    <w:rsid w:val="00966F96"/>
    <w:rsid w:val="00970993"/>
    <w:rsid w:val="00975431"/>
    <w:rsid w:val="009772D5"/>
    <w:rsid w:val="00977F66"/>
    <w:rsid w:val="00981764"/>
    <w:rsid w:val="009925CC"/>
    <w:rsid w:val="009A005C"/>
    <w:rsid w:val="009A101B"/>
    <w:rsid w:val="009A18CD"/>
    <w:rsid w:val="009A257F"/>
    <w:rsid w:val="009A26FC"/>
    <w:rsid w:val="009B4243"/>
    <w:rsid w:val="009B570F"/>
    <w:rsid w:val="009C49E1"/>
    <w:rsid w:val="009C67BB"/>
    <w:rsid w:val="009C7C9E"/>
    <w:rsid w:val="009D2712"/>
    <w:rsid w:val="009D55D6"/>
    <w:rsid w:val="009D603C"/>
    <w:rsid w:val="009D604F"/>
    <w:rsid w:val="009D7590"/>
    <w:rsid w:val="009E130C"/>
    <w:rsid w:val="009F0105"/>
    <w:rsid w:val="009F425A"/>
    <w:rsid w:val="009F4806"/>
    <w:rsid w:val="009F50E9"/>
    <w:rsid w:val="00A0002D"/>
    <w:rsid w:val="00A026F5"/>
    <w:rsid w:val="00A027A6"/>
    <w:rsid w:val="00A05906"/>
    <w:rsid w:val="00A07D29"/>
    <w:rsid w:val="00A1115D"/>
    <w:rsid w:val="00A124AF"/>
    <w:rsid w:val="00A12E16"/>
    <w:rsid w:val="00A16ADC"/>
    <w:rsid w:val="00A16B16"/>
    <w:rsid w:val="00A25D44"/>
    <w:rsid w:val="00A31E0E"/>
    <w:rsid w:val="00A42DEA"/>
    <w:rsid w:val="00A43131"/>
    <w:rsid w:val="00A47F59"/>
    <w:rsid w:val="00A508CC"/>
    <w:rsid w:val="00A54559"/>
    <w:rsid w:val="00A5770C"/>
    <w:rsid w:val="00A614CC"/>
    <w:rsid w:val="00A71515"/>
    <w:rsid w:val="00A839A3"/>
    <w:rsid w:val="00A84233"/>
    <w:rsid w:val="00A911EE"/>
    <w:rsid w:val="00A96974"/>
    <w:rsid w:val="00A97D95"/>
    <w:rsid w:val="00AA2A6B"/>
    <w:rsid w:val="00AA38EF"/>
    <w:rsid w:val="00AA3A4B"/>
    <w:rsid w:val="00AA589C"/>
    <w:rsid w:val="00AA64A6"/>
    <w:rsid w:val="00AB4F98"/>
    <w:rsid w:val="00AB6811"/>
    <w:rsid w:val="00AB6EB7"/>
    <w:rsid w:val="00AB7057"/>
    <w:rsid w:val="00AC1B39"/>
    <w:rsid w:val="00AC3288"/>
    <w:rsid w:val="00AC72FF"/>
    <w:rsid w:val="00AC7315"/>
    <w:rsid w:val="00AD0A1F"/>
    <w:rsid w:val="00AD1382"/>
    <w:rsid w:val="00AD3FD8"/>
    <w:rsid w:val="00AD53B9"/>
    <w:rsid w:val="00AD7131"/>
    <w:rsid w:val="00AD7563"/>
    <w:rsid w:val="00AE0947"/>
    <w:rsid w:val="00AE60CA"/>
    <w:rsid w:val="00AF1482"/>
    <w:rsid w:val="00AF20FA"/>
    <w:rsid w:val="00AF3D21"/>
    <w:rsid w:val="00AF61CF"/>
    <w:rsid w:val="00B00CBA"/>
    <w:rsid w:val="00B0144B"/>
    <w:rsid w:val="00B11FCA"/>
    <w:rsid w:val="00B1205A"/>
    <w:rsid w:val="00B1244E"/>
    <w:rsid w:val="00B1491E"/>
    <w:rsid w:val="00B16C76"/>
    <w:rsid w:val="00B174B9"/>
    <w:rsid w:val="00B31EF9"/>
    <w:rsid w:val="00B32660"/>
    <w:rsid w:val="00B35931"/>
    <w:rsid w:val="00B35BDD"/>
    <w:rsid w:val="00B45926"/>
    <w:rsid w:val="00B46ABB"/>
    <w:rsid w:val="00B46E00"/>
    <w:rsid w:val="00B50AE3"/>
    <w:rsid w:val="00B51400"/>
    <w:rsid w:val="00B532EE"/>
    <w:rsid w:val="00B54D83"/>
    <w:rsid w:val="00B61C95"/>
    <w:rsid w:val="00B650F0"/>
    <w:rsid w:val="00B7260A"/>
    <w:rsid w:val="00B72D47"/>
    <w:rsid w:val="00B75815"/>
    <w:rsid w:val="00B76B88"/>
    <w:rsid w:val="00B773BD"/>
    <w:rsid w:val="00B77DCA"/>
    <w:rsid w:val="00B80C04"/>
    <w:rsid w:val="00B83090"/>
    <w:rsid w:val="00B83442"/>
    <w:rsid w:val="00B83F41"/>
    <w:rsid w:val="00B84EE4"/>
    <w:rsid w:val="00B9029E"/>
    <w:rsid w:val="00B90BC9"/>
    <w:rsid w:val="00B927CF"/>
    <w:rsid w:val="00B94B5D"/>
    <w:rsid w:val="00BA1426"/>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2038"/>
    <w:rsid w:val="00BD7D19"/>
    <w:rsid w:val="00BE2EE9"/>
    <w:rsid w:val="00BE3F00"/>
    <w:rsid w:val="00BE6013"/>
    <w:rsid w:val="00BF1C1A"/>
    <w:rsid w:val="00BF1DF5"/>
    <w:rsid w:val="00C01A62"/>
    <w:rsid w:val="00C022B9"/>
    <w:rsid w:val="00C04A2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4C46"/>
    <w:rsid w:val="00C46C0A"/>
    <w:rsid w:val="00C47F87"/>
    <w:rsid w:val="00C51724"/>
    <w:rsid w:val="00C549B1"/>
    <w:rsid w:val="00C57AC0"/>
    <w:rsid w:val="00C60109"/>
    <w:rsid w:val="00C61665"/>
    <w:rsid w:val="00C61B13"/>
    <w:rsid w:val="00C62CF4"/>
    <w:rsid w:val="00C63CF6"/>
    <w:rsid w:val="00C64E2A"/>
    <w:rsid w:val="00C6704F"/>
    <w:rsid w:val="00C75802"/>
    <w:rsid w:val="00C80F67"/>
    <w:rsid w:val="00C8568A"/>
    <w:rsid w:val="00C90384"/>
    <w:rsid w:val="00C90F2F"/>
    <w:rsid w:val="00C93C17"/>
    <w:rsid w:val="00C967C1"/>
    <w:rsid w:val="00CB05DD"/>
    <w:rsid w:val="00CB300B"/>
    <w:rsid w:val="00CB6006"/>
    <w:rsid w:val="00CB626D"/>
    <w:rsid w:val="00CC0AFD"/>
    <w:rsid w:val="00CC16F4"/>
    <w:rsid w:val="00CC2EF2"/>
    <w:rsid w:val="00CC3A9C"/>
    <w:rsid w:val="00CE1034"/>
    <w:rsid w:val="00CE4768"/>
    <w:rsid w:val="00CE71D7"/>
    <w:rsid w:val="00CF3D76"/>
    <w:rsid w:val="00D04179"/>
    <w:rsid w:val="00D06155"/>
    <w:rsid w:val="00D0738C"/>
    <w:rsid w:val="00D07F39"/>
    <w:rsid w:val="00D14D9F"/>
    <w:rsid w:val="00D17EE2"/>
    <w:rsid w:val="00D216D4"/>
    <w:rsid w:val="00D3010E"/>
    <w:rsid w:val="00D30D99"/>
    <w:rsid w:val="00D36FC9"/>
    <w:rsid w:val="00D42B22"/>
    <w:rsid w:val="00D457EF"/>
    <w:rsid w:val="00D50750"/>
    <w:rsid w:val="00D518EA"/>
    <w:rsid w:val="00D56321"/>
    <w:rsid w:val="00D5750B"/>
    <w:rsid w:val="00D6644A"/>
    <w:rsid w:val="00D6797C"/>
    <w:rsid w:val="00D67AF6"/>
    <w:rsid w:val="00D7098F"/>
    <w:rsid w:val="00D72118"/>
    <w:rsid w:val="00D75D0E"/>
    <w:rsid w:val="00D9022A"/>
    <w:rsid w:val="00D91C8A"/>
    <w:rsid w:val="00D958C6"/>
    <w:rsid w:val="00D977D5"/>
    <w:rsid w:val="00DB0090"/>
    <w:rsid w:val="00DB01BC"/>
    <w:rsid w:val="00DB123D"/>
    <w:rsid w:val="00DB1C3B"/>
    <w:rsid w:val="00DB3538"/>
    <w:rsid w:val="00DB412B"/>
    <w:rsid w:val="00DB55FB"/>
    <w:rsid w:val="00DB5A5E"/>
    <w:rsid w:val="00DC360B"/>
    <w:rsid w:val="00DC5239"/>
    <w:rsid w:val="00DC5C30"/>
    <w:rsid w:val="00DC7129"/>
    <w:rsid w:val="00DD06EB"/>
    <w:rsid w:val="00DD24C3"/>
    <w:rsid w:val="00DD5E8D"/>
    <w:rsid w:val="00DD7123"/>
    <w:rsid w:val="00DE0B7E"/>
    <w:rsid w:val="00DE1329"/>
    <w:rsid w:val="00DE3AF8"/>
    <w:rsid w:val="00DE42B9"/>
    <w:rsid w:val="00DE53E3"/>
    <w:rsid w:val="00DF531A"/>
    <w:rsid w:val="00DF61F4"/>
    <w:rsid w:val="00DF776C"/>
    <w:rsid w:val="00E006D9"/>
    <w:rsid w:val="00E039A8"/>
    <w:rsid w:val="00E0421F"/>
    <w:rsid w:val="00E074FA"/>
    <w:rsid w:val="00E10596"/>
    <w:rsid w:val="00E10CD8"/>
    <w:rsid w:val="00E11299"/>
    <w:rsid w:val="00E15997"/>
    <w:rsid w:val="00E21F79"/>
    <w:rsid w:val="00E2416C"/>
    <w:rsid w:val="00E25210"/>
    <w:rsid w:val="00E30A99"/>
    <w:rsid w:val="00E30D99"/>
    <w:rsid w:val="00E311F1"/>
    <w:rsid w:val="00E326E6"/>
    <w:rsid w:val="00E32CD5"/>
    <w:rsid w:val="00E35ADA"/>
    <w:rsid w:val="00E35CB2"/>
    <w:rsid w:val="00E37FA1"/>
    <w:rsid w:val="00E409D3"/>
    <w:rsid w:val="00E42294"/>
    <w:rsid w:val="00E44906"/>
    <w:rsid w:val="00E45FCF"/>
    <w:rsid w:val="00E524C1"/>
    <w:rsid w:val="00E538CB"/>
    <w:rsid w:val="00E53DFB"/>
    <w:rsid w:val="00E636AE"/>
    <w:rsid w:val="00E63E39"/>
    <w:rsid w:val="00E64832"/>
    <w:rsid w:val="00E7050A"/>
    <w:rsid w:val="00E7276C"/>
    <w:rsid w:val="00E74EFB"/>
    <w:rsid w:val="00E7510E"/>
    <w:rsid w:val="00E85A7E"/>
    <w:rsid w:val="00E85B0E"/>
    <w:rsid w:val="00E90E81"/>
    <w:rsid w:val="00E94EA7"/>
    <w:rsid w:val="00E97AE9"/>
    <w:rsid w:val="00EA52B7"/>
    <w:rsid w:val="00EB01FF"/>
    <w:rsid w:val="00EB6019"/>
    <w:rsid w:val="00EC159D"/>
    <w:rsid w:val="00EC5F0C"/>
    <w:rsid w:val="00ED27EB"/>
    <w:rsid w:val="00ED3C4B"/>
    <w:rsid w:val="00ED3D08"/>
    <w:rsid w:val="00EE2438"/>
    <w:rsid w:val="00EE27A9"/>
    <w:rsid w:val="00EE3003"/>
    <w:rsid w:val="00EE6503"/>
    <w:rsid w:val="00EF11F9"/>
    <w:rsid w:val="00EF1424"/>
    <w:rsid w:val="00EF1D69"/>
    <w:rsid w:val="00EF2CA7"/>
    <w:rsid w:val="00EF5F41"/>
    <w:rsid w:val="00F0092F"/>
    <w:rsid w:val="00F01F48"/>
    <w:rsid w:val="00F04406"/>
    <w:rsid w:val="00F069CB"/>
    <w:rsid w:val="00F1216A"/>
    <w:rsid w:val="00F13697"/>
    <w:rsid w:val="00F16AEF"/>
    <w:rsid w:val="00F17EC3"/>
    <w:rsid w:val="00F21FBE"/>
    <w:rsid w:val="00F244EF"/>
    <w:rsid w:val="00F2696C"/>
    <w:rsid w:val="00F26CA8"/>
    <w:rsid w:val="00F312C3"/>
    <w:rsid w:val="00F3794F"/>
    <w:rsid w:val="00F3796C"/>
    <w:rsid w:val="00F37BB5"/>
    <w:rsid w:val="00F406AB"/>
    <w:rsid w:val="00F4087E"/>
    <w:rsid w:val="00F428D3"/>
    <w:rsid w:val="00F42BAA"/>
    <w:rsid w:val="00F43999"/>
    <w:rsid w:val="00F44929"/>
    <w:rsid w:val="00F4585F"/>
    <w:rsid w:val="00F4598D"/>
    <w:rsid w:val="00F50A8F"/>
    <w:rsid w:val="00F52079"/>
    <w:rsid w:val="00F56202"/>
    <w:rsid w:val="00F56FA3"/>
    <w:rsid w:val="00F61F64"/>
    <w:rsid w:val="00F664BF"/>
    <w:rsid w:val="00F67BD9"/>
    <w:rsid w:val="00F71C4F"/>
    <w:rsid w:val="00F72435"/>
    <w:rsid w:val="00F7249A"/>
    <w:rsid w:val="00F731E8"/>
    <w:rsid w:val="00F75863"/>
    <w:rsid w:val="00F764F2"/>
    <w:rsid w:val="00F77D17"/>
    <w:rsid w:val="00F8178A"/>
    <w:rsid w:val="00F82853"/>
    <w:rsid w:val="00F84CAC"/>
    <w:rsid w:val="00F85F96"/>
    <w:rsid w:val="00F90F65"/>
    <w:rsid w:val="00F9155C"/>
    <w:rsid w:val="00F9623E"/>
    <w:rsid w:val="00FA0A88"/>
    <w:rsid w:val="00FA109A"/>
    <w:rsid w:val="00FA14F8"/>
    <w:rsid w:val="00FA2C0C"/>
    <w:rsid w:val="00FA31D1"/>
    <w:rsid w:val="00FA6919"/>
    <w:rsid w:val="00FB0367"/>
    <w:rsid w:val="00FB0DA6"/>
    <w:rsid w:val="00FC5489"/>
    <w:rsid w:val="00FC74A2"/>
    <w:rsid w:val="00FD3708"/>
    <w:rsid w:val="00FD6995"/>
    <w:rsid w:val="00FD71D6"/>
    <w:rsid w:val="00FE32FA"/>
    <w:rsid w:val="00FE39C3"/>
    <w:rsid w:val="00FE41D6"/>
    <w:rsid w:val="00FE690A"/>
    <w:rsid w:val="00FF3408"/>
    <w:rsid w:val="00FF6F7E"/>
    <w:rsid w:val="01D08688"/>
    <w:rsid w:val="024922AC"/>
    <w:rsid w:val="03E1F965"/>
    <w:rsid w:val="03F89F7E"/>
    <w:rsid w:val="04BB31F2"/>
    <w:rsid w:val="04EB35C0"/>
    <w:rsid w:val="05DAAB0C"/>
    <w:rsid w:val="06AB2F74"/>
    <w:rsid w:val="08CD2F25"/>
    <w:rsid w:val="08E2545D"/>
    <w:rsid w:val="09C313BA"/>
    <w:rsid w:val="0ADFBEA8"/>
    <w:rsid w:val="0BD0E3FF"/>
    <w:rsid w:val="0C794995"/>
    <w:rsid w:val="0CEC6D76"/>
    <w:rsid w:val="0E14F436"/>
    <w:rsid w:val="0E8AED3E"/>
    <w:rsid w:val="0EA4C70F"/>
    <w:rsid w:val="0EF1BA41"/>
    <w:rsid w:val="10E96F27"/>
    <w:rsid w:val="11BD13FA"/>
    <w:rsid w:val="12A6B917"/>
    <w:rsid w:val="135DE335"/>
    <w:rsid w:val="1511E374"/>
    <w:rsid w:val="168E54CD"/>
    <w:rsid w:val="182A252E"/>
    <w:rsid w:val="1893613C"/>
    <w:rsid w:val="19460B92"/>
    <w:rsid w:val="199434D9"/>
    <w:rsid w:val="19C9112A"/>
    <w:rsid w:val="1A1407F9"/>
    <w:rsid w:val="1A1AF4A0"/>
    <w:rsid w:val="1BAFD85A"/>
    <w:rsid w:val="1BB9BFF2"/>
    <w:rsid w:val="1D148203"/>
    <w:rsid w:val="1EF39487"/>
    <w:rsid w:val="1F3F2633"/>
    <w:rsid w:val="241FEE64"/>
    <w:rsid w:val="245B0B22"/>
    <w:rsid w:val="25CC568A"/>
    <w:rsid w:val="29466547"/>
    <w:rsid w:val="297C3C6D"/>
    <w:rsid w:val="29CAEA52"/>
    <w:rsid w:val="2A017BB7"/>
    <w:rsid w:val="2BD93316"/>
    <w:rsid w:val="2EC70E95"/>
    <w:rsid w:val="2ECC946C"/>
    <w:rsid w:val="307C9B3F"/>
    <w:rsid w:val="30B4730F"/>
    <w:rsid w:val="30C8A7CF"/>
    <w:rsid w:val="317407DD"/>
    <w:rsid w:val="33F833AD"/>
    <w:rsid w:val="3405A0B9"/>
    <w:rsid w:val="34ED11FC"/>
    <w:rsid w:val="357BC41C"/>
    <w:rsid w:val="373341CA"/>
    <w:rsid w:val="385546A6"/>
    <w:rsid w:val="38955F77"/>
    <w:rsid w:val="38C76C0C"/>
    <w:rsid w:val="3BB8732C"/>
    <w:rsid w:val="3D9DE971"/>
    <w:rsid w:val="3E8EA095"/>
    <w:rsid w:val="3F87207F"/>
    <w:rsid w:val="417D1EB5"/>
    <w:rsid w:val="418B6572"/>
    <w:rsid w:val="43716228"/>
    <w:rsid w:val="45677CF2"/>
    <w:rsid w:val="45B547A7"/>
    <w:rsid w:val="45F66203"/>
    <w:rsid w:val="47018D31"/>
    <w:rsid w:val="48C5721A"/>
    <w:rsid w:val="48D18A53"/>
    <w:rsid w:val="48E0232C"/>
    <w:rsid w:val="49679177"/>
    <w:rsid w:val="4A80A58E"/>
    <w:rsid w:val="4B4E792C"/>
    <w:rsid w:val="4C70ACA8"/>
    <w:rsid w:val="4CC7BEE2"/>
    <w:rsid w:val="4CE81885"/>
    <w:rsid w:val="4CF59742"/>
    <w:rsid w:val="4D25F723"/>
    <w:rsid w:val="4DAFE213"/>
    <w:rsid w:val="4EB16F27"/>
    <w:rsid w:val="4EC84278"/>
    <w:rsid w:val="505DCF9E"/>
    <w:rsid w:val="508F456F"/>
    <w:rsid w:val="53B6C8A5"/>
    <w:rsid w:val="53C5B961"/>
    <w:rsid w:val="562E9434"/>
    <w:rsid w:val="57828CB1"/>
    <w:rsid w:val="58519109"/>
    <w:rsid w:val="5BAE2D4C"/>
    <w:rsid w:val="5CA0DCE4"/>
    <w:rsid w:val="5CC55B8C"/>
    <w:rsid w:val="5DEC0689"/>
    <w:rsid w:val="5E3D4EFC"/>
    <w:rsid w:val="5E48F6E5"/>
    <w:rsid w:val="5E973BB3"/>
    <w:rsid w:val="5F4F89DF"/>
    <w:rsid w:val="5F88BE35"/>
    <w:rsid w:val="5FE02688"/>
    <w:rsid w:val="60F14119"/>
    <w:rsid w:val="6122F920"/>
    <w:rsid w:val="615C0ED6"/>
    <w:rsid w:val="62FDFF7C"/>
    <w:rsid w:val="62FFEE85"/>
    <w:rsid w:val="6336BE5A"/>
    <w:rsid w:val="638E7BEB"/>
    <w:rsid w:val="6601178F"/>
    <w:rsid w:val="6612F44A"/>
    <w:rsid w:val="6635A03E"/>
    <w:rsid w:val="663BA2D4"/>
    <w:rsid w:val="675F5F88"/>
    <w:rsid w:val="67AFAA7E"/>
    <w:rsid w:val="6893AB96"/>
    <w:rsid w:val="68AC86EA"/>
    <w:rsid w:val="68BAF0CD"/>
    <w:rsid w:val="691C8F4C"/>
    <w:rsid w:val="6958EB68"/>
    <w:rsid w:val="6992F8E2"/>
    <w:rsid w:val="6A3742CF"/>
    <w:rsid w:val="6A97004A"/>
    <w:rsid w:val="6BBFB66B"/>
    <w:rsid w:val="6C32D0AB"/>
    <w:rsid w:val="6CAC4703"/>
    <w:rsid w:val="6DCEA10C"/>
    <w:rsid w:val="6EE81BEF"/>
    <w:rsid w:val="6F4E3B4D"/>
    <w:rsid w:val="6FA50A1E"/>
    <w:rsid w:val="6FC35A27"/>
    <w:rsid w:val="7050D39B"/>
    <w:rsid w:val="717DFA22"/>
    <w:rsid w:val="71F51EE8"/>
    <w:rsid w:val="7247E45A"/>
    <w:rsid w:val="7346DACB"/>
    <w:rsid w:val="73DB835E"/>
    <w:rsid w:val="7503AEBA"/>
    <w:rsid w:val="7540C48D"/>
    <w:rsid w:val="754C066D"/>
    <w:rsid w:val="75EE9428"/>
    <w:rsid w:val="764650DE"/>
    <w:rsid w:val="765F064A"/>
    <w:rsid w:val="76C15A79"/>
    <w:rsid w:val="76FA2BD7"/>
    <w:rsid w:val="773F86FB"/>
    <w:rsid w:val="78307C09"/>
    <w:rsid w:val="785BB34E"/>
    <w:rsid w:val="797BF386"/>
    <w:rsid w:val="79825AFD"/>
    <w:rsid w:val="79920FEB"/>
    <w:rsid w:val="79B06174"/>
    <w:rsid w:val="79F354E9"/>
    <w:rsid w:val="7ACF7284"/>
    <w:rsid w:val="7C2C8A06"/>
    <w:rsid w:val="7CE28993"/>
    <w:rsid w:val="7E977D1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0E"/>
  </w:style>
  <w:style w:type="paragraph" w:styleId="Ttulo1">
    <w:name w:val="heading 1"/>
    <w:basedOn w:val="Normal"/>
    <w:next w:val="Normal"/>
    <w:link w:val="Ttulo1Carcter"/>
    <w:qFormat/>
    <w:rsid w:val="00316E2F"/>
    <w:pPr>
      <w:keepNext/>
      <w:keepLines/>
      <w:numPr>
        <w:numId w:val="10"/>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tulo2">
    <w:name w:val="heading 2"/>
    <w:basedOn w:val="Normal"/>
    <w:next w:val="Normal"/>
    <w:link w:val="Ttulo2Carcter"/>
    <w:autoRedefine/>
    <w:unhideWhenUsed/>
    <w:qFormat/>
    <w:rsid w:val="00316E2F"/>
    <w:pPr>
      <w:keepNext/>
      <w:keepLines/>
      <w:numPr>
        <w:ilvl w:val="1"/>
        <w:numId w:val="10"/>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tulo3">
    <w:name w:val="heading 3"/>
    <w:next w:val="Normal"/>
    <w:link w:val="Ttulo3Carcter"/>
    <w:unhideWhenUsed/>
    <w:qFormat/>
    <w:rsid w:val="00316E2F"/>
    <w:pPr>
      <w:keepNext/>
      <w:keepLines/>
      <w:widowControl w:val="0"/>
      <w:numPr>
        <w:ilvl w:val="2"/>
        <w:numId w:val="10"/>
      </w:numPr>
      <w:spacing w:before="240" w:after="120"/>
      <w:jc w:val="both"/>
      <w:outlineLvl w:val="2"/>
    </w:pPr>
    <w:rPr>
      <w:rFonts w:cs="ITC Franklin Gothic Std Med"/>
      <w:b/>
      <w:color w:val="00B050"/>
      <w:sz w:val="24"/>
      <w:szCs w:val="26"/>
      <w:lang w:val="en-GB"/>
    </w:rPr>
  </w:style>
  <w:style w:type="paragraph" w:styleId="Ttulo4">
    <w:name w:val="heading 4"/>
    <w:basedOn w:val="Normal"/>
    <w:next w:val="Normal"/>
    <w:link w:val="Ttulo4Carcter"/>
    <w:unhideWhenUsed/>
    <w:qFormat/>
    <w:rsid w:val="00316E2F"/>
    <w:pPr>
      <w:keepNext/>
      <w:keepLines/>
      <w:numPr>
        <w:ilvl w:val="3"/>
        <w:numId w:val="10"/>
      </w:numPr>
      <w:spacing w:before="120" w:after="120"/>
      <w:jc w:val="both"/>
      <w:outlineLvl w:val="3"/>
    </w:pPr>
    <w:rPr>
      <w:rFonts w:cs="ITC Franklin Gothic Std Med"/>
      <w:b/>
      <w:i/>
      <w:color w:val="00B050"/>
      <w:szCs w:val="24"/>
      <w:lang w:val="en-GB"/>
    </w:rPr>
  </w:style>
  <w:style w:type="paragraph" w:styleId="Ttulo5">
    <w:name w:val="heading 5"/>
    <w:basedOn w:val="Normal"/>
    <w:next w:val="Normal"/>
    <w:link w:val="Ttulo5Carcter"/>
    <w:uiPriority w:val="9"/>
    <w:unhideWhenUsed/>
    <w:qFormat/>
    <w:rsid w:val="00316E2F"/>
    <w:pPr>
      <w:widowControl w:val="0"/>
      <w:numPr>
        <w:ilvl w:val="4"/>
        <w:numId w:val="10"/>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tulo6">
    <w:name w:val="heading 6"/>
    <w:basedOn w:val="Normal"/>
    <w:next w:val="Normal"/>
    <w:link w:val="Ttulo6Carcter"/>
    <w:uiPriority w:val="9"/>
    <w:semiHidden/>
    <w:unhideWhenUsed/>
    <w:qFormat/>
    <w:rsid w:val="00316E2F"/>
    <w:pPr>
      <w:keepNext/>
      <w:keepLines/>
      <w:numPr>
        <w:ilvl w:val="5"/>
        <w:numId w:val="10"/>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cter"/>
    <w:uiPriority w:val="9"/>
    <w:semiHidden/>
    <w:unhideWhenUsed/>
    <w:qFormat/>
    <w:rsid w:val="00316E2F"/>
    <w:pPr>
      <w:keepNext/>
      <w:keepLines/>
      <w:numPr>
        <w:ilvl w:val="6"/>
        <w:numId w:val="10"/>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cter"/>
    <w:uiPriority w:val="9"/>
    <w:semiHidden/>
    <w:unhideWhenUsed/>
    <w:qFormat/>
    <w:rsid w:val="00316E2F"/>
    <w:pPr>
      <w:keepNext/>
      <w:keepLines/>
      <w:numPr>
        <w:ilvl w:val="7"/>
        <w:numId w:val="10"/>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cter"/>
    <w:uiPriority w:val="9"/>
    <w:semiHidden/>
    <w:unhideWhenUsed/>
    <w:qFormat/>
    <w:rsid w:val="00316E2F"/>
    <w:pPr>
      <w:keepNext/>
      <w:keepLines/>
      <w:numPr>
        <w:ilvl w:val="8"/>
        <w:numId w:val="10"/>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16B16"/>
    <w:pPr>
      <w:keepLines/>
      <w:widowControl w:val="0"/>
      <w:tabs>
        <w:tab w:val="left" w:pos="113"/>
      </w:tabs>
    </w:pPr>
    <w:rPr>
      <w:rFonts w:eastAsia="Calibri" w:cstheme="minorHAnsi"/>
      <w:sz w:val="20"/>
      <w:szCs w:val="20"/>
      <w:lang w:val="en-GB"/>
    </w:rPr>
  </w:style>
  <w:style w:type="character" w:styleId="Refdecomentrio">
    <w:name w:val="annotation reference"/>
    <w:basedOn w:val="Tipodeletrapredefinidodopargrafo"/>
    <w:semiHidden/>
    <w:unhideWhenUsed/>
    <w:rsid w:val="004C681B"/>
    <w:rPr>
      <w:sz w:val="16"/>
      <w:szCs w:val="16"/>
    </w:rPr>
  </w:style>
  <w:style w:type="paragraph" w:styleId="Textodecomentrio">
    <w:name w:val="annotation text"/>
    <w:basedOn w:val="Normal"/>
    <w:link w:val="TextodecomentrioCarcter"/>
    <w:uiPriority w:val="99"/>
    <w:unhideWhenUsed/>
    <w:rsid w:val="004C681B"/>
    <w:rPr>
      <w:sz w:val="20"/>
      <w:szCs w:val="20"/>
    </w:rPr>
  </w:style>
  <w:style w:type="character" w:customStyle="1" w:styleId="TextodecomentrioCarcter">
    <w:name w:val="Texto de comentário Carácter"/>
    <w:basedOn w:val="Tipodeletrapredefinidodopargrafo"/>
    <w:link w:val="Textodecomentrio"/>
    <w:uiPriority w:val="99"/>
    <w:rsid w:val="004C681B"/>
    <w:rPr>
      <w:sz w:val="20"/>
      <w:szCs w:val="20"/>
    </w:rPr>
  </w:style>
  <w:style w:type="paragraph" w:styleId="Assuntodecomentrio">
    <w:name w:val="annotation subject"/>
    <w:basedOn w:val="Textodecomentrio"/>
    <w:next w:val="Textodecomentrio"/>
    <w:link w:val="AssuntodecomentrioCarcter"/>
    <w:uiPriority w:val="99"/>
    <w:semiHidden/>
    <w:unhideWhenUsed/>
    <w:rsid w:val="004C681B"/>
    <w:rPr>
      <w:b/>
      <w:bCs/>
    </w:rPr>
  </w:style>
  <w:style w:type="character" w:customStyle="1" w:styleId="AssuntodecomentrioCarcter">
    <w:name w:val="Assunto de comentário Carácter"/>
    <w:basedOn w:val="TextodecomentrioCarcter"/>
    <w:link w:val="Assuntodecomentrio"/>
    <w:uiPriority w:val="99"/>
    <w:semiHidden/>
    <w:rsid w:val="004C681B"/>
    <w:rPr>
      <w:b/>
      <w:bCs/>
      <w:sz w:val="20"/>
      <w:szCs w:val="20"/>
    </w:rPr>
  </w:style>
  <w:style w:type="paragraph" w:styleId="Textodebalo">
    <w:name w:val="Balloon Text"/>
    <w:basedOn w:val="Normal"/>
    <w:link w:val="TextodebaloCarcter"/>
    <w:uiPriority w:val="99"/>
    <w:semiHidden/>
    <w:unhideWhenUsed/>
    <w:rsid w:val="004C681B"/>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C681B"/>
    <w:rPr>
      <w:rFonts w:ascii="Segoe UI" w:hAnsi="Segoe UI" w:cs="Segoe UI"/>
      <w:sz w:val="18"/>
      <w:szCs w:val="18"/>
    </w:rPr>
  </w:style>
  <w:style w:type="paragraph" w:styleId="Cabealho">
    <w:name w:val="header"/>
    <w:basedOn w:val="Normal"/>
    <w:link w:val="CabealhoCarcter"/>
    <w:uiPriority w:val="99"/>
    <w:unhideWhenUsed/>
    <w:rsid w:val="00945B1A"/>
    <w:pPr>
      <w:tabs>
        <w:tab w:val="center" w:pos="4680"/>
        <w:tab w:val="right" w:pos="9360"/>
      </w:tabs>
    </w:pPr>
  </w:style>
  <w:style w:type="character" w:customStyle="1" w:styleId="CabealhoCarcter">
    <w:name w:val="Cabeçalho Carácter"/>
    <w:basedOn w:val="Tipodeletrapredefinidodopargrafo"/>
    <w:link w:val="Cabealho"/>
    <w:uiPriority w:val="99"/>
    <w:rsid w:val="00945B1A"/>
  </w:style>
  <w:style w:type="paragraph" w:styleId="Rodap">
    <w:name w:val="footer"/>
    <w:basedOn w:val="Normal"/>
    <w:link w:val="RodapCarcter"/>
    <w:uiPriority w:val="99"/>
    <w:unhideWhenUsed/>
    <w:rsid w:val="00945B1A"/>
    <w:pPr>
      <w:tabs>
        <w:tab w:val="center" w:pos="4680"/>
        <w:tab w:val="right" w:pos="9360"/>
      </w:tabs>
    </w:pPr>
  </w:style>
  <w:style w:type="character" w:customStyle="1" w:styleId="RodapCarcter">
    <w:name w:val="Rodapé Carácter"/>
    <w:basedOn w:val="Tipodeletrapredefinidodopargrafo"/>
    <w:link w:val="Rodap"/>
    <w:uiPriority w:val="99"/>
    <w:rsid w:val="00945B1A"/>
  </w:style>
  <w:style w:type="paragraph" w:styleId="PargrafodaLista">
    <w:name w:val="List Paragraph"/>
    <w:aliases w:val="Citation List,본문(내용),List Paragraph (numbered (a)),Akapit z listą BS,Bullet1,Bullets,Dot pt,IBL List Paragraph,List Paragraph 1,List Paragraph nowy,List Paragraph-ExecSummary,List Paragraph1,List_Paragraph,Multilevel para_II,Ha,3"/>
    <w:basedOn w:val="Normal"/>
    <w:link w:val="PargrafodaListaCarcter"/>
    <w:uiPriority w:val="34"/>
    <w:qFormat/>
    <w:rsid w:val="004E7CEA"/>
    <w:pPr>
      <w:spacing w:after="240"/>
      <w:ind w:left="1710" w:hanging="360"/>
      <w:jc w:val="both"/>
    </w:pPr>
    <w:rPr>
      <w:rFonts w:eastAsiaTheme="minorEastAsia" w:cs="Times New Roman"/>
    </w:rPr>
  </w:style>
  <w:style w:type="character" w:customStyle="1" w:styleId="PargrafodaListaCarcter">
    <w:name w:val="Parágrafo da Lista Carácter"/>
    <w:aliases w:val="Citation List Carácter,본문(내용) Carácter,List Paragraph (numbered (a)) Carácter,Akapit z listą BS Carácter,Bullet1 Carácter,Bullets Carácter,Dot pt Carácter,IBL List Paragraph Carácter,List Paragraph 1 Carácter,Ha Carácter"/>
    <w:basedOn w:val="Tipodeletrapredefinidodopargrafo"/>
    <w:link w:val="PargrafodaLista"/>
    <w:uiPriority w:val="34"/>
    <w:qFormat/>
    <w:rsid w:val="004E7CEA"/>
    <w:rPr>
      <w:rFonts w:eastAsiaTheme="minorEastAsia" w:cs="Times New Roman"/>
    </w:rPr>
  </w:style>
  <w:style w:type="paragraph" w:styleId="Textodenotaderodap">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denotaderodapCarcter"/>
    <w:unhideWhenUsed/>
    <w:rsid w:val="007C7248"/>
    <w:rPr>
      <w:sz w:val="20"/>
      <w:szCs w:val="20"/>
    </w:rPr>
  </w:style>
  <w:style w:type="character" w:customStyle="1" w:styleId="TextodenotaderodapCarcter">
    <w:name w:val="Texto de nota de rodapé Carácter"/>
    <w:aliases w:val="Текст сноски Знак Char Знак Знак Carácter,Текст сноски Знак Знак Carácter,Текст сноски Знак Char Char Carácter,Текст сноски Знак Char Carácter,Знак Знак Carácter, Знак Знак Carácter,single space Carácter,fn Carácter"/>
    <w:basedOn w:val="Tipodeletrapredefinidodopargrafo"/>
    <w:link w:val="Textodenotaderodap"/>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Forte">
    <w:name w:val="Strong"/>
    <w:basedOn w:val="Tipodeletrapredefinidodopargrafo"/>
    <w:uiPriority w:val="22"/>
    <w:qFormat/>
    <w:rsid w:val="00D7098F"/>
    <w:rPr>
      <w:b/>
      <w:bCs/>
    </w:rPr>
  </w:style>
  <w:style w:type="character" w:styleId="Hiperligao">
    <w:name w:val="Hyperlink"/>
    <w:basedOn w:val="Tipodeletrapredefinidodopargrafo"/>
    <w:uiPriority w:val="99"/>
    <w:unhideWhenUsed/>
    <w:rsid w:val="005F1B0E"/>
    <w:rPr>
      <w:color w:val="0563C1" w:themeColor="hyperlink"/>
      <w:u w:val="single"/>
    </w:rPr>
  </w:style>
  <w:style w:type="character" w:customStyle="1" w:styleId="Ttulo1Carcter">
    <w:name w:val="Título 1 Carácter"/>
    <w:basedOn w:val="Tipodeletrapredefinidodopargrafo"/>
    <w:link w:val="Ttulo1"/>
    <w:rsid w:val="00316E2F"/>
    <w:rPr>
      <w:rFonts w:ascii="Calibri" w:eastAsiaTheme="majorEastAsia" w:hAnsi="Calibri" w:cstheme="majorBidi"/>
      <w:b/>
      <w:bCs/>
      <w:color w:val="00B050"/>
      <w:sz w:val="32"/>
      <w:szCs w:val="28"/>
      <w:lang w:eastAsia="ja-JP"/>
    </w:rPr>
  </w:style>
  <w:style w:type="character" w:customStyle="1" w:styleId="Ttulo2Carcter">
    <w:name w:val="Título 2 Carácter"/>
    <w:basedOn w:val="Tipodeletrapredefinidodopargrafo"/>
    <w:link w:val="Ttulo2"/>
    <w:rsid w:val="00316E2F"/>
    <w:rPr>
      <w:rFonts w:eastAsiaTheme="majorEastAsia" w:cstheme="majorBidi"/>
      <w:b/>
      <w:bCs/>
      <w:color w:val="00B050"/>
      <w:sz w:val="24"/>
      <w:szCs w:val="26"/>
      <w:lang w:eastAsia="ja-JP"/>
    </w:rPr>
  </w:style>
  <w:style w:type="character" w:customStyle="1" w:styleId="Ttulo3Carcter">
    <w:name w:val="Título 3 Carácter"/>
    <w:basedOn w:val="Tipodeletrapredefinidodopargrafo"/>
    <w:link w:val="Ttulo3"/>
    <w:rsid w:val="00316E2F"/>
    <w:rPr>
      <w:rFonts w:cs="ITC Franklin Gothic Std Med"/>
      <w:b/>
      <w:color w:val="00B050"/>
      <w:sz w:val="24"/>
      <w:szCs w:val="26"/>
      <w:lang w:val="en-GB"/>
    </w:rPr>
  </w:style>
  <w:style w:type="character" w:customStyle="1" w:styleId="Ttulo4Carcter">
    <w:name w:val="Título 4 Carácter"/>
    <w:basedOn w:val="Tipodeletrapredefinidodopargrafo"/>
    <w:link w:val="Ttulo4"/>
    <w:rsid w:val="00316E2F"/>
    <w:rPr>
      <w:rFonts w:cs="ITC Franklin Gothic Std Med"/>
      <w:b/>
      <w:i/>
      <w:color w:val="00B050"/>
      <w:szCs w:val="24"/>
      <w:lang w:val="en-GB"/>
    </w:rPr>
  </w:style>
  <w:style w:type="character" w:customStyle="1" w:styleId="Ttulo5Carcter">
    <w:name w:val="Título 5 Carácter"/>
    <w:basedOn w:val="Tipodeletrapredefinidodopargrafo"/>
    <w:link w:val="Ttulo5"/>
    <w:uiPriority w:val="9"/>
    <w:rsid w:val="00316E2F"/>
    <w:rPr>
      <w:rFonts w:cs="ITC Franklin Gothic Std Med"/>
      <w:b/>
      <w:i/>
      <w:iCs/>
      <w:color w:val="C45911" w:themeColor="accent2" w:themeShade="BF"/>
      <w:sz w:val="24"/>
      <w:szCs w:val="24"/>
      <w:lang w:val="en-GB"/>
    </w:rPr>
  </w:style>
  <w:style w:type="character" w:customStyle="1" w:styleId="Ttulo6Carcter">
    <w:name w:val="Título 6 Carácter"/>
    <w:basedOn w:val="Tipodeletrapredefinidodopargrafo"/>
    <w:link w:val="Ttulo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tulo7Carcter">
    <w:name w:val="Título 7 Carácter"/>
    <w:basedOn w:val="Tipodeletrapredefinidodopargrafo"/>
    <w:link w:val="Ttulo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tulo8Carcter">
    <w:name w:val="Título 8 Carácter"/>
    <w:basedOn w:val="Tipodeletrapredefinidodopargrafo"/>
    <w:link w:val="Ttulo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tulo9Carcter">
    <w:name w:val="Título 9 Carácter"/>
    <w:basedOn w:val="Tipodeletrapredefinidodopargrafo"/>
    <w:link w:val="Ttulo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o">
    <w:name w:val="Revision"/>
    <w:hidden/>
    <w:uiPriority w:val="99"/>
    <w:semiHidden/>
    <w:rsid w:val="00497F9A"/>
  </w:style>
  <w:style w:type="paragraph" w:styleId="HTMLpr-formatado">
    <w:name w:val="HTML Preformatted"/>
    <w:basedOn w:val="Normal"/>
    <w:link w:val="HTMLpr-formatadoCarcter"/>
    <w:uiPriority w:val="99"/>
    <w:semiHidden/>
    <w:unhideWhenUsed/>
    <w:rsid w:val="00710765"/>
    <w:rPr>
      <w:rFonts w:ascii="Consolas" w:hAnsi="Consolas"/>
      <w:sz w:val="20"/>
      <w:szCs w:val="20"/>
    </w:rPr>
  </w:style>
  <w:style w:type="character" w:customStyle="1" w:styleId="HTMLpr-formatadoCarcter">
    <w:name w:val="HTML pré-formatado Carácter"/>
    <w:basedOn w:val="Tipodeletrapredefinidodopargrafo"/>
    <w:link w:val="HTMLpr-formatado"/>
    <w:uiPriority w:val="99"/>
    <w:semiHidden/>
    <w:rsid w:val="00710765"/>
    <w:rPr>
      <w:rFonts w:ascii="Consolas" w:hAnsi="Consolas"/>
      <w:sz w:val="20"/>
      <w:szCs w:val="20"/>
    </w:rPr>
  </w:style>
  <w:style w:type="character" w:customStyle="1" w:styleId="Mention1">
    <w:name w:val="Mention1"/>
    <w:basedOn w:val="Tipodeletrapredefinidodopargrafo"/>
    <w:uiPriority w:val="99"/>
    <w:unhideWhenUsed/>
    <w:rsid w:val="0006280E"/>
    <w:rPr>
      <w:color w:val="2B579A"/>
      <w:shd w:val="clear" w:color="auto" w:fill="E6E6E6"/>
    </w:rPr>
  </w:style>
  <w:style w:type="character" w:customStyle="1" w:styleId="y2iqfc">
    <w:name w:val="y2iqfc"/>
    <w:basedOn w:val="Tipodeletrapredefinidodopargrafo"/>
    <w:rsid w:val="00BA1426"/>
  </w:style>
</w:styles>
</file>

<file path=word/webSettings.xml><?xml version="1.0" encoding="utf-8"?>
<w:webSettings xmlns:r="http://schemas.openxmlformats.org/officeDocument/2006/relationships" xmlns:w="http://schemas.openxmlformats.org/wordprocessingml/2006/main">
  <w:divs>
    <w:div w:id="369384948">
      <w:bodyDiv w:val="1"/>
      <w:marLeft w:val="0"/>
      <w:marRight w:val="0"/>
      <w:marTop w:val="0"/>
      <w:marBottom w:val="0"/>
      <w:divBdr>
        <w:top w:val="none" w:sz="0" w:space="0" w:color="auto"/>
        <w:left w:val="none" w:sz="0" w:space="0" w:color="auto"/>
        <w:bottom w:val="none" w:sz="0" w:space="0" w:color="auto"/>
        <w:right w:val="none" w:sz="0" w:space="0" w:color="auto"/>
      </w:divBdr>
    </w:div>
    <w:div w:id="422923317">
      <w:bodyDiv w:val="1"/>
      <w:marLeft w:val="0"/>
      <w:marRight w:val="0"/>
      <w:marTop w:val="0"/>
      <w:marBottom w:val="0"/>
      <w:divBdr>
        <w:top w:val="none" w:sz="0" w:space="0" w:color="auto"/>
        <w:left w:val="none" w:sz="0" w:space="0" w:color="auto"/>
        <w:bottom w:val="none" w:sz="0" w:space="0" w:color="auto"/>
        <w:right w:val="none" w:sz="0" w:space="0" w:color="auto"/>
      </w:divBdr>
    </w:div>
    <w:div w:id="544609103">
      <w:bodyDiv w:val="1"/>
      <w:marLeft w:val="0"/>
      <w:marRight w:val="0"/>
      <w:marTop w:val="0"/>
      <w:marBottom w:val="0"/>
      <w:divBdr>
        <w:top w:val="none" w:sz="0" w:space="0" w:color="auto"/>
        <w:left w:val="none" w:sz="0" w:space="0" w:color="auto"/>
        <w:bottom w:val="none" w:sz="0" w:space="0" w:color="auto"/>
        <w:right w:val="none" w:sz="0" w:space="0" w:color="auto"/>
      </w:divBdr>
    </w:div>
    <w:div w:id="641934429">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12234524">
      <w:bodyDiv w:val="1"/>
      <w:marLeft w:val="0"/>
      <w:marRight w:val="0"/>
      <w:marTop w:val="0"/>
      <w:marBottom w:val="0"/>
      <w:divBdr>
        <w:top w:val="none" w:sz="0" w:space="0" w:color="auto"/>
        <w:left w:val="none" w:sz="0" w:space="0" w:color="auto"/>
        <w:bottom w:val="none" w:sz="0" w:space="0" w:color="auto"/>
        <w:right w:val="none" w:sz="0" w:space="0" w:color="auto"/>
      </w:divBdr>
    </w:div>
    <w:div w:id="1643655043">
      <w:bodyDiv w:val="1"/>
      <w:marLeft w:val="0"/>
      <w:marRight w:val="0"/>
      <w:marTop w:val="0"/>
      <w:marBottom w:val="0"/>
      <w:divBdr>
        <w:top w:val="none" w:sz="0" w:space="0" w:color="auto"/>
        <w:left w:val="none" w:sz="0" w:space="0" w:color="auto"/>
        <w:bottom w:val="none" w:sz="0" w:space="0" w:color="auto"/>
        <w:right w:val="none" w:sz="0" w:space="0" w:color="auto"/>
      </w:divBdr>
    </w:div>
    <w:div w:id="19269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A0E371-4D88-4721-8037-CFF6E7C478F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093A8EBE5C42A68C65845078207E" ma:contentTypeVersion="11" ma:contentTypeDescription="Create a new document." ma:contentTypeScope="" ma:versionID="cb5c029207f12b6651b914927bd29182">
  <xsd:schema xmlns:xsd="http://www.w3.org/2001/XMLSchema" xmlns:xs="http://www.w3.org/2001/XMLSchema" xmlns:p="http://schemas.microsoft.com/office/2006/metadata/properties" xmlns:ns2="dc0d4934-f889-4062-b24f-4c6fbbd744ef" xmlns:ns3="d73b8d88-7fcb-45c7-8e9d-7ed4c4529a3e" targetNamespace="http://schemas.microsoft.com/office/2006/metadata/properties" ma:root="true" ma:fieldsID="4c09ec358ab6e26c65a80c6113dd4011" ns2:_="" ns3:_="">
    <xsd:import namespace="dc0d4934-f889-4062-b24f-4c6fbbd744ef"/>
    <xsd:import namespace="d73b8d88-7fcb-45c7-8e9d-7ed4c4529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4934-f889-4062-b24f-4c6fbbd74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b8d88-7fcb-45c7-8e9d-7ed4c4529a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747A-0CFB-4664-B11E-E5C7A871B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4934-f889-4062-b24f-4c6fbbd744ef"/>
    <ds:schemaRef ds:uri="d73b8d88-7fcb-45c7-8e9d-7ed4c4529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57CD7CFA-5E29-405A-9592-E824D4BF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Environmental and Social Commitment Plan (ESCP)</vt:lpstr>
      <vt:lpstr>Draft Environmental and Social Commitment Plan (ESCP)</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Commitment Plan (ESCP)</dc:title>
  <dc:creator>Dominique Isabelle Kayser</dc:creator>
  <cp:lastModifiedBy>ABEL VEIGA</cp:lastModifiedBy>
  <cp:revision>2</cp:revision>
  <cp:lastPrinted>2019-10-21T14:12:00Z</cp:lastPrinted>
  <dcterms:created xsi:type="dcterms:W3CDTF">2022-01-24T17:49:00Z</dcterms:created>
  <dcterms:modified xsi:type="dcterms:W3CDTF">2022-01-24T17:49:00Z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0x0101007489093A8EBE5C42A68C65845078207E</vt:lpwstr>
  </property>
  <property fmtid="{D5CDD505-2E9C-101B-9397-08002B2CF9AE}" pid="3" name="RatedBy">
    <vt:lpwstr/>
  </property>
  <property fmtid="{D5CDD505-2E9C-101B-9397-08002B2CF9AE}" pid="4" name="LikedBy">
    <vt:lpwstr/>
  </property>
  <property fmtid="{D5CDD505-2E9C-101B-9397-08002B2CF9AE}" pid="5" name="Ratings">
    <vt:lpwstr/>
  </property>
</Properties>
</file>